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i/>
          <w:iCs/>
          <w:color w:val="777777"/>
          <w:sz w:val="18"/>
          <w:szCs w:val="18"/>
        </w:rPr>
        <w:t xml:space="preserve">An open question on venture capital, seven frames, evidence labelled, anchored in US/UK/EU, all frames contestable</w:t>
      </w:r>
    </w:p>
    <w:p>
      <w:pPr>
        <w:spacing w:after="240"/>
      </w:pPr>
      <w:r>
        <w:rPr>
          <w:rFonts w:ascii="Calibri" w:cs="Calibri" w:eastAsia="Calibri" w:hAnsi="Calibri"/>
          <w:color w:val="777777"/>
          <w:sz w:val="18"/>
          <w:szCs w:val="18"/>
        </w:rPr>
        <w:t xml:space="preserve">5 May 2026  ·  v13 (new title, prologue addressing the reader directly, seven frames, US/UK/EU, author's revised answer)</w:t>
      </w:r>
    </w:p>
    <w:p>
      <w:pPr>
        <w:spacing w:after="200"/>
      </w:pPr>
      <w:r>
        <w:rPr>
          <w:rFonts w:ascii="Calibri" w:cs="Calibri" w:eastAsia="Calibri" w:hAnsi="Calibri"/>
          <w:b/>
          <w:bCs/>
          <w:color w:val="1F3864"/>
          <w:sz w:val="40"/>
          <w:szCs w:val="40"/>
        </w:rPr>
        <w:t xml:space="preserve">VC: most fail, most suffer, some win lots — does society win or lose?</w:t>
      </w:r>
    </w:p>
    <w:p>
      <w:pPr>
        <w:spacing w:after="120" w:line="320"/>
      </w:pPr>
      <w:r>
        <w:rPr>
          <w:rFonts w:ascii="Calibri" w:cs="Calibri" w:eastAsia="Calibri" w:hAnsi="Calibri"/>
          <w:i/>
          <w:iCs/>
          <w:color w:val="444444"/>
          <w:sz w:val="22"/>
          <w:szCs w:val="22"/>
        </w:rPr>
        <w:t xml:space="preserve">An analysis of venture capital and its effects on human outcomes, scoped to venture capital alone, with empirical material anchored across the three major jurisdictions — the United States, the United Kingdom, and the European Union. Seven legitimate evaluative frames are presented in parallel: market efficiency, welfare economics, institutional design, selection-based optimisation, ethical consent, civilisational progress, and geopolitical and strategic competition. Every empirical claim is split into observed fact and competing interpretations — one per frame. Every claim carries an evidence-strength label. Every frame receives its own counterarguments treatment. The pro-VC and critical cases are given equal narrative texture. The three jurisdictions are treated as a natural experiment: each runs a variant of the same model with different LP bases, different founder tax regimes, different exit dynamics, which lets the reader see what is intrinsic to the venture model and what is local-design choice. Each frame produces its own verdict at the end. The first eleven parts deliberately keep the author's voice off the verdict and present the document as a structured map. Part XII is the author's own direct answer to the question, revised in v11 to reflect external critique that earlier versions under-weighted the civilisational and geopolitical frames.</w:t>
      </w:r>
    </w:p>
    <w:p>
      <w:pPr>
        <w:pBdr>
          <w:bottom w:val="single" w:color="1A2E45" w:sz="6" w:space="1"/>
        </w:pBdr>
        <w:spacing w:after="240" w:before="120"/>
      </w:pPr>
      <w:r>
        <w:rPr>
          <w:sz w:val="2"/>
          <w:szCs w:val="2"/>
        </w:rPr>
        <w:t xml:space="preserve"/>
      </w:r>
    </w:p>
    <w:p>
      <w:pPr>
        <w:pStyle w:val="Heading2"/>
        <w:spacing w:after="160" w:before="300"/>
      </w:pPr>
      <w:r>
        <w:rPr>
          <w:rFonts w:ascii="Calibri" w:cs="Calibri" w:eastAsia="Calibri" w:hAnsi="Calibri"/>
          <w:b/>
          <w:bCs/>
          <w:color w:val="1F3864"/>
          <w:sz w:val="28"/>
          <w:szCs w:val="28"/>
        </w:rPr>
        <w:t xml:space="preserve">How to read this document</w:t>
      </w:r>
    </w:p>
    <w:p>
      <w:pPr>
        <w:spacing w:after="160" w:line="312"/>
        <w:jc w:val="both"/>
      </w:pPr>
      <w:r>
        <w:rPr>
          <w:rFonts w:ascii="Calibri" w:cs="Calibri" w:eastAsia="Calibri" w:hAnsi="Calibri"/>
          <w:sz w:val="22"/>
          <w:szCs w:val="22"/>
        </w:rPr>
        <w:t xml:space="preserve">This document responds to iterative external critique of earlier drafts. Three structural choices are made explicit upfront so the reader can see the machinery rather than be steered by it.</w:t>
      </w:r>
    </w:p>
    <w:p>
      <w:pPr>
        <w:pStyle w:val="Heading3"/>
        <w:spacing w:after="120" w:before="220"/>
      </w:pPr>
      <w:r>
        <w:rPr>
          <w:rFonts w:ascii="Calibri" w:cs="Calibri" w:eastAsia="Calibri" w:hAnsi="Calibri"/>
          <w:b/>
          <w:bCs/>
          <w:color w:val="1A2E45"/>
          <w:sz w:val="24"/>
          <w:szCs w:val="24"/>
        </w:rPr>
        <w:t xml:space="preserve">Choice 1 — Five frames, in parallel</w:t>
      </w:r>
    </w:p>
    <w:p>
      <w:pPr>
        <w:spacing w:after="160" w:line="312"/>
        <w:jc w:val="both"/>
      </w:pPr>
      <w:r>
        <w:rPr>
          <w:rFonts w:ascii="Calibri" w:cs="Calibri" w:eastAsia="Calibri" w:hAnsi="Calibri"/>
          <w:sz w:val="22"/>
          <w:szCs w:val="22"/>
        </w:rPr>
        <w:t xml:space="preserve">An earlier draft of this analysis used four frames and treated a fifth concern (information asymmetry) as a precondition that ran underneath the others. Subsequent versions extended to five frames and then to seven (with the addition of civilisational progress and geopolitical/strategic competition in v11). Each of the seven frames in Part II is a legitimate evaluative lens with substantial intellectual history. Each receives equal treatment in the empirical sections.</w:t>
      </w:r>
    </w:p>
    <w:p>
      <w:pPr>
        <w:pStyle w:val="Heading3"/>
        <w:spacing w:after="120" w:before="220"/>
      </w:pPr>
      <w:r>
        <w:rPr>
          <w:rFonts w:ascii="Calibri" w:cs="Calibri" w:eastAsia="Calibri" w:hAnsi="Calibri"/>
          <w:b/>
          <w:bCs/>
          <w:color w:val="1A2E45"/>
          <w:sz w:val="24"/>
          <w:szCs w:val="24"/>
        </w:rPr>
        <w:t xml:space="preserve">Choice 2 — Facts and interpretations are separated</w:t>
      </w:r>
    </w:p>
    <w:p>
      <w:pPr>
        <w:spacing w:after="160" w:line="312"/>
        <w:jc w:val="both"/>
      </w:pPr>
      <w:r>
        <w:rPr>
          <w:rFonts w:ascii="Calibri" w:cs="Calibri" w:eastAsia="Calibri" w:hAnsi="Calibri"/>
          <w:sz w:val="22"/>
          <w:szCs w:val="22"/>
        </w:rPr>
        <w:t xml:space="preserve">Most empirical claims about venture capital are simultaneously a number and a story about what the number means. This document separates the two. Each major claim is presented as an observed fact, followed by the strongest competing interpretations of what the fact does and does not establish — typically one per frame. The reader can accept the fact while choosing among the interpretations.</w:t>
      </w:r>
    </w:p>
    <w:p>
      <w:pPr>
        <w:pStyle w:val="Heading3"/>
        <w:spacing w:after="120" w:before="220"/>
      </w:pPr>
      <w:r>
        <w:rPr>
          <w:rFonts w:ascii="Calibri" w:cs="Calibri" w:eastAsia="Calibri" w:hAnsi="Calibri"/>
          <w:b/>
          <w:bCs/>
          <w:color w:val="1A2E45"/>
          <w:sz w:val="24"/>
          <w:szCs w:val="24"/>
        </w:rPr>
        <w:t xml:space="preserve">Choice 3 — Evidence-strength labels</w:t>
      </w:r>
    </w:p>
    <w:p>
      <w:pPr>
        <w:spacing w:after="160" w:line="312"/>
        <w:jc w:val="both"/>
      </w:pPr>
      <w:r>
        <w:rPr>
          <w:rFonts w:ascii="Calibri" w:cs="Calibri" w:eastAsia="Calibri" w:hAnsi="Calibri"/>
          <w:sz w:val="22"/>
          <w:szCs w:val="22"/>
        </w:rPr>
        <w:t xml:space="preserve">Not all claims have equal evidence behind them. Every major claim carries one of four labels: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replicated across multiple independent sources, audited where applicable, broad agreement among researchers.</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supported by credible evidence but with limitations of scope, sampling, or confounding factors.</w:t>
      </w:r>
    </w:p>
    <w:p>
      <w:pPr>
        <w:spacing w:after="80" w:line="260"/>
      </w:pPr>
      <w:r>
        <w:rPr>
          <w:rFonts w:ascii="Calibri" w:cs="Calibri" w:eastAsia="Calibri" w:hAnsi="Calibri"/>
          <w:b/>
          <w:bCs/>
          <w:color w:val="996644"/>
          <w:sz w:val="18"/>
          <w:szCs w:val="18"/>
        </w:rPr>
        <w:t xml:space="preserve">[WEAK]  </w:t>
      </w:r>
      <w:r>
        <w:rPr>
          <w:rFonts w:ascii="Calibri" w:cs="Calibri" w:eastAsia="Calibri" w:hAnsi="Calibri"/>
          <w:i/>
          <w:iCs/>
          <w:color w:val="555555"/>
          <w:sz w:val="18"/>
          <w:szCs w:val="18"/>
        </w:rPr>
        <w:t xml:space="preserve">based on limited or indirect evidence; the claim is plausible but not well-tested.</w:t>
      </w:r>
    </w:p>
    <w:p>
      <w:pPr>
        <w:spacing w:after="80" w:line="260"/>
      </w:pPr>
      <w:r>
        <w:rPr>
          <w:rFonts w:ascii="Calibri" w:cs="Calibri" w:eastAsia="Calibri" w:hAnsi="Calibri"/>
          <w:b/>
          <w:bCs/>
          <w:color w:val="6B5B8A"/>
          <w:sz w:val="18"/>
          <w:szCs w:val="18"/>
        </w:rPr>
        <w:t xml:space="preserve">[INTERPRETIVE]  </w:t>
      </w:r>
      <w:r>
        <w:rPr>
          <w:rFonts w:ascii="Calibri" w:cs="Calibri" w:eastAsia="Calibri" w:hAnsi="Calibri"/>
          <w:i/>
          <w:iCs/>
          <w:color w:val="555555"/>
          <w:sz w:val="18"/>
          <w:szCs w:val="18"/>
        </w:rPr>
        <w:t xml:space="preserve">rests primarily on judgment, testimony, or structural reasoning rather than measured data.</w:t>
      </w:r>
    </w:p>
    <w:p>
      <w:pPr>
        <w:spacing w:after="160" w:line="312"/>
        <w:jc w:val="both"/>
      </w:pPr>
      <w:r>
        <w:rPr>
          <w:rFonts w:ascii="Calibri" w:cs="Calibri" w:eastAsia="Calibri" w:hAnsi="Calibri"/>
          <w:sz w:val="22"/>
          <w:szCs w:val="22"/>
        </w:rPr>
        <w:t xml:space="preserve">Labels are applied conservatively. Where reasonable researchers might disagree on the appropriate label, the document errs toward the lower-strength label.</w:t>
      </w:r>
    </w:p>
    <w:p>
      <w:pPr>
        <w:spacing w:after="120" w:line="280"/>
      </w:pPr>
      <w:r>
        <w:rPr>
          <w:rFonts w:ascii="Calibri" w:cs="Calibri" w:eastAsia="Calibri" w:hAnsi="Calibri"/>
          <w:i/>
          <w:iCs/>
          <w:color w:val="555555"/>
          <w:sz w:val="18"/>
          <w:szCs w:val="18"/>
        </w:rPr>
        <w:t xml:space="preserve">Author. Written by Claude (Anthropic), model identifier Claude Opus 4.7, at the request of a reader, after multiple iterations responding to critique. v13 adds a prologue before Part I that addresses the reader directly: it names the structural fact that the entire messaging environment around venture capital is engineered to make every individual reader believe they will be the winner, and that this engineering operates regardless of whether the reader actually will be. The prologue is short, sharp, and visible at the start of the document so a reader cannot reach the structured analysis without first encountering the warning. The seven-frame structure, fact/interpretation splits, evidence-strength labels, jurisdictional anchoring, natural-experiment framing, counterarguments-for-every-frame structure, and Part XII's authorial verdict are all preserved from v11 and v12. The honest description of the document is now: a structured map of the debate (Parts I-XI) followed by an explicit author position (Part XII), preceded by a prologue that names the recruitment-environment fact the rest of the document treats as background. The document is generated by AI without human expert review.</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Before the structured analysis: a note to the reader</w:t>
      </w:r>
    </w:p>
    <w:p>
      <w:pPr>
        <w:spacing w:after="160" w:line="312"/>
        <w:jc w:val="both"/>
      </w:pPr>
      <w:r>
        <w:rPr>
          <w:rFonts w:ascii="Calibri" w:cs="Calibri" w:eastAsia="Calibri" w:hAnsi="Calibri"/>
          <w:sz w:val="22"/>
          <w:szCs w:val="22"/>
        </w:rPr>
        <w:t xml:space="preserve">Before the seven frames, before the empirical evidence, before the natural experiment across the US, UK, and EU, before the author's verdict at the end — a short note about something the rest of the document treats as background but never names directly.</w:t>
      </w:r>
    </w:p>
    <w:p>
      <w:pPr>
        <w:spacing w:after="160" w:line="312"/>
        <w:jc w:val="both"/>
      </w:pPr>
      <w:r>
        <w:rPr>
          <w:rFonts w:ascii="Calibri" w:cs="Calibri" w:eastAsia="Calibri" w:hAnsi="Calibri"/>
          <w:sz w:val="22"/>
          <w:szCs w:val="22"/>
        </w:rPr>
        <w:t xml:space="preserve">If you are reading this as a prospective founder, or as someone considering joining an early-stage venture-backed startup, or as someone deciding whether to invest savings into a fund, the entire infrastructure of venture capital — every accelerator pitch deck, every VC partner meeting, every founder Twitter thread, every investor LinkedIn post, every glossy profile of a successful exit, every conference keynote, every startup blog post about the journey, every podcast about "how I built this" — is engineered to make you believe that you, specifically, will be the winner. Not the founder cohort. Not the median outcome. You. The person reading this.</w:t>
      </w:r>
    </w:p>
    <w:p>
      <w:pPr>
        <w:spacing w:after="160" w:line="312"/>
        <w:jc w:val="both"/>
      </w:pPr>
      <w:r>
        <w:rPr>
          <w:rFonts w:ascii="Calibri" w:cs="Calibri" w:eastAsia="Calibri" w:hAnsi="Calibri"/>
          <w:sz w:val="22"/>
          <w:szCs w:val="22"/>
        </w:rPr>
        <w:t xml:space="preserve">The 33% of entrepreneurs who told Cooper et al. in 1988 that their success probability was 100%, against base rates closer to 50% five-year survival and substantially lower rates of meaningful success, were not failing at arithmetic. They were correctly registering what the system around them was telling them. The system tells every prospective founder that they will be the winner because that belief is the fuel. Without it, the population of attempts collapses, the search engine stops finding the rare breakthroughs, the venture model does not function. The aggregate output the document defends in Frames A, D, F, and G depends on the existence of a population of individuals who systematically over-estimate their personal success probability. The recruitment narrative produces that over-estimation, on purpose, because that is what the system needs you to believe in order to operate.</w:t>
      </w:r>
    </w:p>
    <w:p>
      <w:pPr>
        <w:spacing w:after="160" w:line="312"/>
        <w:jc w:val="both"/>
      </w:pPr>
      <w:r>
        <w:rPr>
          <w:rFonts w:ascii="Calibri" w:cs="Calibri" w:eastAsia="Calibri" w:hAnsi="Calibri"/>
          <w:sz w:val="22"/>
          <w:szCs w:val="22"/>
        </w:rPr>
        <w:t xml:space="preserve">This is not a moral indictment of any individual VC, accelerator partner, or founder coach. Most of them genuinely believe in the upside they are selling. Many of them have lived the upside themselves. But the structural function of the messaging, regardless of the intent behind any individual instance of it, is to recruit you specifically into believing that the base rates do not apply to you. The recruitment messaging is correct that some people will be the winner. It is correct that the people who believe they will be the winner are over-represented among the people who actually become the winner. It is also correct that most of the people who believe they will be the winner are wrong, that the welfare cost of being wrong is concentrated on them, and that the population-level outcomes the system needs in order to function depend on the wrong believers being more numerous than the right ones.</w:t>
      </w:r>
    </w:p>
    <w:p>
      <w:pPr>
        <w:spacing w:after="160" w:line="312"/>
        <w:jc w:val="both"/>
      </w:pPr>
      <w:r>
        <w:rPr>
          <w:rFonts w:ascii="Calibri" w:cs="Calibri" w:eastAsia="Calibri" w:hAnsi="Calibri"/>
          <w:sz w:val="22"/>
          <w:szCs w:val="22"/>
        </w:rPr>
        <w:t xml:space="preserve">The document below tries to evaluate venture capital honestly across seven different frames, and reaches a position that is, on balance, positive about the system at civilisational scale. None of that analysis dissolves the fact that the messaging environment around any individual reader is engineered to make that reader believe they will be the winner. A reader who comes away from the document persuaded that venture capital is net-positive for humanity is reasoning correctly given the seven frames. A reader who then concludes from this that they, personally, should enter the venture system as a founder or early employee, is making a different decision — a decision about themselves, not about the system — and that decision is the one the recruitment messaging is designed to influence.</w:t>
      </w:r>
    </w:p>
    <w:p>
      <w:pPr>
        <w:spacing w:after="160" w:line="312"/>
        <w:jc w:val="both"/>
      </w:pPr>
      <w:r>
        <w:rPr>
          <w:rFonts w:ascii="Calibri" w:cs="Calibri" w:eastAsia="Calibri" w:hAnsi="Calibri"/>
          <w:sz w:val="22"/>
          <w:szCs w:val="22"/>
        </w:rPr>
        <w:t xml:space="preserve">The honest thing to say is this: the document treats the question "is venture capital good for society?" carefully, across multiple frames, with the empirical evidence anchored in three jurisdictions. The document does not, and cannot, tell you whether you specifically will be the winner. The base rates apply to populations. Your individual probability depends on facts about you that no document can know. If you are weighing whether to enter the venture system, the recruitment messaging is going to tell you, in many forms, that you will be the winner. Most of the messaging will not say it that bluntly. It will say it through the visible success stories, through the absence of visible failure stories, through the cultural form of the founder hero narrative, through the invitation to think of yourself as different from the median. Some of those messages are true for some readers. Most are not. The system needs you to act on the assumption that they are true for you.</w:t>
      </w:r>
    </w:p>
    <w:p>
      <w:pPr>
        <w:spacing w:after="160" w:line="312"/>
        <w:jc w:val="both"/>
      </w:pPr>
      <w:r>
        <w:rPr>
          <w:rFonts w:ascii="Calibri" w:cs="Calibri" w:eastAsia="Calibri" w:hAnsi="Calibri"/>
          <w:sz w:val="22"/>
          <w:szCs w:val="22"/>
        </w:rPr>
        <w:t xml:space="preserve">The author of this document is Claude, an AI assistant built by Anthropic. The author has no incentive to recruit you into the venture system. The author also has no way to know whether you will be the winner. The strongest single thing the author can say at the start of a document the reader has chosen to read carefully is: be aware that the messaging environment around the venture system is engineered to make you, specifically, believe you will be the winner, and that this engineering operates regardless of whether you actually will be. The frames below give you the tools to evaluate the system. Evaluating yourself — whether you are the rare person for whom the recruitment messaging is correct, or one of the many for whom it is not — is a different exercise the document cannot do for you.</w:t>
      </w:r>
    </w:p>
    <w:p>
      <w:pPr>
        <w:spacing w:after="160" w:line="312"/>
        <w:jc w:val="both"/>
      </w:pPr>
      <w:r>
        <w:rPr>
          <w:rFonts w:ascii="Calibri" w:cs="Calibri" w:eastAsia="Calibri" w:hAnsi="Calibri"/>
          <w:sz w:val="22"/>
          <w:szCs w:val="22"/>
        </w:rPr>
        <w:t xml:space="preserve">Read on with that in mind. The structured analysis follows.</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I — What venture capital is, structurally</w:t>
      </w:r>
    </w:p>
    <w:p>
      <w:pPr>
        <w:spacing w:after="160" w:line="312"/>
        <w:jc w:val="both"/>
      </w:pPr>
      <w:r>
        <w:rPr>
          <w:rFonts w:ascii="Calibri" w:cs="Calibri" w:eastAsia="Calibri" w:hAnsi="Calibri"/>
          <w:sz w:val="22"/>
          <w:szCs w:val="22"/>
        </w:rPr>
        <w:t xml:space="preserve">The popular discourse on venture capital typically treats VCs as wealthy individuals who give money to startups in exchange for equity. This description is correct but underspecified, and most disagreements about VC's effects on human outcomes turn on details the description omits. Before either the empirical evidence or the seven frames in Part II can do their work, the structural mechanics need to be set out.</w:t>
      </w:r>
    </w:p>
    <w:p>
      <w:pPr>
        <w:pStyle w:val="Heading3"/>
        <w:spacing w:after="120" w:before="220"/>
      </w:pPr>
      <w:r>
        <w:rPr>
          <w:rFonts w:ascii="Calibri" w:cs="Calibri" w:eastAsia="Calibri" w:hAnsi="Calibri"/>
          <w:b/>
          <w:bCs/>
          <w:color w:val="1A2E45"/>
          <w:sz w:val="24"/>
          <w:szCs w:val="24"/>
        </w:rPr>
        <w:t xml:space="preserve">The LP / GP structure</w:t>
      </w:r>
    </w:p>
    <w:p>
      <w:pPr>
        <w:spacing w:after="160" w:line="312"/>
        <w:jc w:val="both"/>
      </w:pPr>
      <w:r>
        <w:rPr>
          <w:rFonts w:ascii="Calibri" w:cs="Calibri" w:eastAsia="Calibri" w:hAnsi="Calibri"/>
          <w:sz w:val="22"/>
          <w:szCs w:val="22"/>
        </w:rPr>
        <w:t xml:space="preserve">A venture capital fund is a limited partnership. The general partners (GPs) — the venture capitalists themselves — manage the fund and make investment decisions. The limited partners (LPs) put in the bulk of the capital and have no operational role. The fund has a fixed life, typically ten years, sometimes extendable to twelve or fourteen. During the first three to five years (the investment period), the GPs deploy capital into portfolio companies. During the remaining years, they manage the existing portfolio toward exits and return capital to LPs.</w:t>
      </w:r>
    </w:p>
    <w:p>
      <w:pPr>
        <w:spacing w:after="160" w:line="312"/>
        <w:jc w:val="both"/>
      </w:pPr>
      <w:r>
        <w:rPr>
          <w:rFonts w:ascii="Calibri" w:cs="Calibri" w:eastAsia="Calibri" w:hAnsi="Calibri"/>
          <w:sz w:val="22"/>
          <w:szCs w:val="22"/>
        </w:rPr>
        <w:t xml:space="preserve">Economics follow the standard "2 and 20" structure: a 2% annual management fee on committed capital (sometimes 2.5% for smaller funds), plus 20% carried interest on profits above the LP capital plus, in some funds, a preferred return (often 8%) before the 20% kicks in. A $200m fund therefore generates roughly $4m per year in management fees — enough to pay a small team — and the partners' real wealth comes from the carried interest if the fund returns more than its committed capital.</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Universal industry standard, documented in PitchBook, Cambridge Associates, and the academic literature.</w:t>
      </w:r>
    </w:p>
    <w:p>
      <w:pPr>
        <w:pStyle w:val="Heading3"/>
        <w:spacing w:after="120" w:before="220"/>
      </w:pPr>
      <w:r>
        <w:rPr>
          <w:rFonts w:ascii="Calibri" w:cs="Calibri" w:eastAsia="Calibri" w:hAnsi="Calibri"/>
          <w:b/>
          <w:bCs/>
          <w:color w:val="1A2E45"/>
          <w:sz w:val="24"/>
          <w:szCs w:val="24"/>
        </w:rPr>
        <w:t xml:space="preserve">Where the capital actually comes from</w:t>
      </w:r>
    </w:p>
    <w:p>
      <w:pPr>
        <w:spacing w:after="160" w:line="312"/>
        <w:jc w:val="both"/>
      </w:pPr>
      <w:r>
        <w:rPr>
          <w:rFonts w:ascii="Calibri" w:cs="Calibri" w:eastAsia="Calibri" w:hAnsi="Calibri"/>
          <w:sz w:val="22"/>
          <w:szCs w:val="22"/>
        </w:rPr>
        <w:t xml:space="preserve">The LP capital that VC funds invest does not come primarily from wealthy individuals. It comes overwhelmingly from institutional pools of capital with specific liability and return-target structures.</w:t>
      </w:r>
    </w:p>
    <w:p>
      <w:pPr>
        <w:spacing w:after="160" w:line="312"/>
        <w:jc w:val="both"/>
      </w:pPr>
      <w:r>
        <w:rPr>
          <w:rFonts w:ascii="Calibri" w:cs="Calibri" w:eastAsia="Calibri" w:hAnsi="Calibri"/>
          <w:sz w:val="22"/>
          <w:szCs w:val="22"/>
        </w:rPr>
        <w:t xml:space="preserve">Pension funds are the largest single contributor to US venture capital in aggregate, though most pension funds allocate only single-digit percentages of their total assets to VC because of fiduciary constraints. CalPERS, the largest US public pension fund at approximately $299bn, allocates about 9.6% to private equity (which includes VC). Pension fund money in VC is structurally conservative: research by Kim (SSRN 2025) shows that funds with public pension fund LPs target opportunities with higher exit probability and lower expected returns, and that GPs cater to pension LPs' risk preferences.</w:t>
      </w:r>
    </w:p>
    <w:p>
      <w:pPr>
        <w:spacing w:after="160" w:line="312"/>
        <w:jc w:val="both"/>
      </w:pPr>
      <w:r>
        <w:rPr>
          <w:rFonts w:ascii="Calibri" w:cs="Calibri" w:eastAsia="Calibri" w:hAnsi="Calibri"/>
          <w:sz w:val="22"/>
          <w:szCs w:val="22"/>
        </w:rPr>
        <w:t xml:space="preserve">University endowments are the most aggressive institutional allocators. Top US endowments allocate 41-50%+ of their assets to alternatives, mostly private equity and venture capital. Harvard's $57bn endowment runs 41% in private equity. Yale's $44bn endowment runs approximately 50% in private equity. The "Yale model" pioneered by David Swensen treats illiquidity as a feature — endowments have perpetual time horizons and no liability windows. US university endowments collectively manage over $840bn.</w:t>
      </w:r>
    </w:p>
    <w:p>
      <w:pPr>
        <w:spacing w:after="160" w:line="312"/>
        <w:jc w:val="both"/>
      </w:pPr>
      <w:r>
        <w:rPr>
          <w:rFonts w:ascii="Calibri" w:cs="Calibri" w:eastAsia="Calibri" w:hAnsi="Calibri"/>
          <w:sz w:val="22"/>
          <w:szCs w:val="22"/>
        </w:rPr>
        <w:t xml:space="preserve">Foundations operate similarly to endowments. Sovereign wealth funds (Norway's GPFG, Singapore's GIC and Temasek, Abu Dhabi's ADIA, Saudi PIF) are the largest pools globally and have grown their VC allocations substantially. Family offices (multi-generational wealth pools, typically over $100m AUM) are increasingly active VC LPs. Fund-of-funds aggregate smaller LP commitments. High-net-worth individuals are a minor LP category in absolute terms but are important for emerging managers raising first-time funds.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LP composition data is well-documented in NVCA, Preqin, Cambridge Associates, and Invest Europe reports.</w:t>
      </w:r>
    </w:p>
    <w:p>
      <w:pPr>
        <w:spacing w:after="160" w:line="312"/>
        <w:jc w:val="both"/>
      </w:pPr>
      <w:r>
        <w:rPr>
          <w:rFonts w:ascii="Calibri" w:cs="Calibri" w:eastAsia="Calibri" w:hAnsi="Calibri"/>
          <w:sz w:val="22"/>
          <w:szCs w:val="22"/>
        </w:rPr>
        <w:t xml:space="preserve">The structural implication: when a VC fund returns money, it returns money primarily to (a) the retirement accounts of teachers, firefighters, and other public-sector workers; (b) the operating budgets of elite universities; (c) the foundations that fund cultural and charitable work; (d) sovereign wealth funds that exist to smooth national fiscal cycles; and (e) wealthy individuals and family offices. The popular framing of VC as "taking from workers and giving to the rich" is partly correct — wealthy individuals are real LPs and VC partners themselves capture significant returns through carried interest — but the institutional LP base means a substantial fraction of returns flow to public-good-adjacent institutions.</w:t>
      </w:r>
    </w:p>
    <w:p>
      <w:pPr>
        <w:pStyle w:val="Heading3"/>
        <w:spacing w:after="120" w:before="220"/>
      </w:pPr>
      <w:r>
        <w:rPr>
          <w:rFonts w:ascii="Calibri" w:cs="Calibri" w:eastAsia="Calibri" w:hAnsi="Calibri"/>
          <w:b/>
          <w:bCs/>
          <w:color w:val="1A2E45"/>
          <w:sz w:val="24"/>
          <w:szCs w:val="24"/>
        </w:rPr>
        <w:t xml:space="preserve">Carried interest, and how the people inside the system get paid</w:t>
      </w:r>
    </w:p>
    <w:p>
      <w:pPr>
        <w:spacing w:after="160" w:line="312"/>
        <w:jc w:val="both"/>
      </w:pPr>
      <w:r>
        <w:rPr>
          <w:rFonts w:ascii="Calibri" w:cs="Calibri" w:eastAsia="Calibri" w:hAnsi="Calibri"/>
          <w:sz w:val="22"/>
          <w:szCs w:val="22"/>
        </w:rPr>
        <w:t xml:space="preserve">Carried interest is the share of fund profits that GPs receive, typically 20%. Under IRC §1061, carried interest held for more than three years is taxed at long-term capital gains rates (top federal rate of 20%, plus the 3.8% Net Investment Income Tax for some, totalling 23.8%) rather than at ordinary income rates (top federal rate of 37%, totalling 40.8% with NIIT). For a VC partner whose carry generates millions per year, the differential is substantial.</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Tax structure settled in US tax code; political debate around it well-documented across two decades of attempted reform.</w:t>
      </w:r>
    </w:p>
    <w:p>
      <w:pPr>
        <w:spacing w:after="160" w:line="312"/>
        <w:jc w:val="both"/>
      </w:pPr>
      <w:r>
        <w:rPr>
          <w:rFonts w:ascii="Calibri" w:cs="Calibri" w:eastAsia="Calibri" w:hAnsi="Calibri"/>
          <w:sz w:val="22"/>
          <w:szCs w:val="22"/>
        </w:rPr>
        <w:t xml:space="preserve">The US investment management sector extracts an estimated $98 billion per year in carried interest across all asset classes. The Congressional Budget Office's December 2024 estimate of carried interest reform revenue was $13 billion over 10 years — a small fraction of federal spending. Reform attempts have a long history. The Tax Cuts and Jobs Act of 2017 partially addressed carried interest by extending the holding period from one year to three. In February 2025, President Trump indicated support for ending the loophole, and Democratic senators introduced the Carried Interest Fairness Act. The May 2025 House tax bill ultimately preserved the existing treatment. The UK passed legislation in 2025 that, from 2026, treats carried interest as ordinary trading income subject to marginal rates of income tax and National Insurance, with a partial reduced rate (effective 34.1% for highest-rate taxpayers) for so-called qualifying carried interest meeting specific conditions.</w:t>
      </w:r>
    </w:p>
    <w:p>
      <w:pPr>
        <w:pStyle w:val="Heading3"/>
        <w:spacing w:after="120" w:before="220"/>
      </w:pPr>
      <w:r>
        <w:rPr>
          <w:rFonts w:ascii="Calibri" w:cs="Calibri" w:eastAsia="Calibri" w:hAnsi="Calibri"/>
          <w:b/>
          <w:bCs/>
          <w:color w:val="1A2E45"/>
          <w:sz w:val="24"/>
          <w:szCs w:val="24"/>
        </w:rPr>
        <w:t xml:space="preserve">Power-law math: why most companies must fail</w:t>
      </w:r>
    </w:p>
    <w:p>
      <w:pPr>
        <w:spacing w:after="160" w:line="312"/>
        <w:jc w:val="both"/>
      </w:pPr>
      <w:r>
        <w:rPr>
          <w:rFonts w:ascii="Calibri" w:cs="Calibri" w:eastAsia="Calibri" w:hAnsi="Calibri"/>
          <w:sz w:val="22"/>
          <w:szCs w:val="22"/>
        </w:rPr>
        <w:t xml:space="preserve">The most important structural feature of the venture model, and the one that most directly determines what VCs select for, is the power-law distribution of returns. The arithmetic: a $200m fund targeting a 3x net return to LPs needs to return approximately $600m of cash distributions over its 10-12 year life. After 2% annual management fees compounded over the fund's life (roughly $40m), the gross fund return required is closer to $640m. The fund deploys capital across approximately 25-40 companies. If 64% of portfolio companies fail to return principal (Correlation Ventures' 2009-2018 data), 9-14 companies in the portfolio are write-offs. Of the remaining 11-26, perhaps half return modest multiples (1-3x) and half return more meaningful multiples (5-15x). The fund needs at least one or two extreme outliers — returning 30x, 50x, or 100x — to drive the entire fund's performance.</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The power-law distribution of venture returns is one of the most-replicated findings in the literature; Correlation Ventures' deal-level data is widely cited.</w:t>
      </w:r>
    </w:p>
    <w:p>
      <w:pPr>
        <w:spacing w:after="160" w:line="312"/>
        <w:jc w:val="both"/>
      </w:pPr>
      <w:r>
        <w:rPr>
          <w:rFonts w:ascii="Calibri" w:cs="Calibri" w:eastAsia="Calibri" w:hAnsi="Calibri"/>
          <w:sz w:val="22"/>
          <w:szCs w:val="22"/>
        </w:rPr>
        <w:t xml:space="preserve">Hall and Woodward (Stanford GSB) analysed 22,004 companies that received venture capital from 1987 to 2008. Of these: 9% reached IPO, with the average founder holding $40m in equity at IPO. The mean entrepreneur across all 22,004 companies (including failures) exited with $5.8m of equity. 34% died or were taken to have ceased operations after going unfunded for over five years — their founders earned only their salaries. 31% had unknown outcomes (most still operating, some likely to achieve future exits). Roughly 1% of companies that aspired to obtain venture capital received it in the first place.</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Hall and Woodward dataset is one of the most comprehensive longitudinal analyses of US VC outcomes.</w:t>
      </w:r>
    </w:p>
    <w:p>
      <w:pPr>
        <w:spacing w:after="160" w:line="312"/>
        <w:jc w:val="both"/>
      </w:pPr>
      <w:r>
        <w:rPr>
          <w:rFonts w:ascii="Calibri" w:cs="Calibri" w:eastAsia="Calibri" w:hAnsi="Calibri"/>
          <w:sz w:val="22"/>
          <w:szCs w:val="22"/>
        </w:rPr>
        <w:t xml:space="preserve">The implication for selection. The fund is not asking, at the screening stage, "will this company benefit humanity" or "will this company succeed." It is asking "could this company plausibly return 50x or more if everything goes right." A company whose realistic best-case outcome is a $50m exit at 5x the fund's check is, for fund-economics purposes, a failure. A company whose realistic best-case outcome is a $5bn exit at 100x the fund's check is the only kind of bet the fund is structurally able to make. This filtering happens at the screening stage.</w:t>
      </w:r>
    </w:p>
    <w:p>
      <w:pPr>
        <w:pStyle w:val="Heading3"/>
        <w:spacing w:after="120" w:before="220"/>
      </w:pPr>
      <w:r>
        <w:rPr>
          <w:rFonts w:ascii="Calibri" w:cs="Calibri" w:eastAsia="Calibri" w:hAnsi="Calibri"/>
          <w:b/>
          <w:bCs/>
          <w:color w:val="1A2E45"/>
          <w:sz w:val="24"/>
          <w:szCs w:val="24"/>
        </w:rPr>
        <w:t xml:space="preserve">Secondary markets and DPI</w:t>
      </w:r>
    </w:p>
    <w:p>
      <w:pPr>
        <w:spacing w:after="160" w:line="312"/>
        <w:jc w:val="both"/>
      </w:pPr>
      <w:r>
        <w:rPr>
          <w:rFonts w:ascii="Calibri" w:cs="Calibri" w:eastAsia="Calibri" w:hAnsi="Calibri"/>
          <w:sz w:val="22"/>
          <w:szCs w:val="22"/>
        </w:rPr>
        <w:t xml:space="preserve">Two newer structural features matter. The secondary market for fund stakes — in which an LP sells its partnership stake to another LP at typically a 15-25% discount to NAV — has grown substantially. In 2025, Harvard sold approximately $1bn in PE fund stakes; Yale signalled plans to offload up to $6bn (15% of its endowment). The DPI obsession — LPs shifting from valuing TVPI (total value, including unrealised paper gains) to demanding DPI (distributions to paid-in capital, realised cash) — is changing GP behaviour: more emphasis on getting to exit, more pressure on portfolio companies to find buyers or go public, less tolerance for long-tail value-building.</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growth of the secondary market is well-documented in industry reports (Greenhill, Lazard, Jefferies); the DPI shift is documented in 2024-25 LP behaviour reports; longer-term consequences are still emerging.</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II — Seven legitimate frames</w:t>
      </w:r>
    </w:p>
    <w:p>
      <w:pPr>
        <w:spacing w:after="160" w:line="312"/>
        <w:jc w:val="both"/>
      </w:pPr>
      <w:r>
        <w:rPr>
          <w:rFonts w:ascii="Calibri" w:cs="Calibri" w:eastAsia="Calibri" w:hAnsi="Calibri"/>
          <w:sz w:val="22"/>
          <w:szCs w:val="22"/>
        </w:rPr>
        <w:t xml:space="preserve">An evaluative frame is a set of criteria for what counts as a good outcome and a set of weights for trading off different kinds of value against each other. Different frames produce different answers when applied to identical evidence. Seven frames have substantial intellectual histories and substantial constituencies; each operationalises "human outcomes" in a defensible but distinct way. They are not mutually exclusive. A thoughtful observer can hold parts of all seven. Naming them upfront lets the reader see which frame is doing the work in any particular argument.</w:t>
      </w:r>
    </w:p>
    <w:p>
      <w:pPr>
        <w:spacing w:after="160" w:line="312"/>
        <w:jc w:val="both"/>
      </w:pPr>
      <w:r>
        <w:rPr>
          <w:rFonts w:ascii="Calibri" w:cs="Calibri" w:eastAsia="Calibri" w:hAnsi="Calibri"/>
          <w:sz w:val="22"/>
          <w:szCs w:val="22"/>
        </w:rPr>
        <w:t xml:space="preserve">An earlier version of this document used five frames and treated civilisational progress and geopolitical/strategic competition as "excluded frames" listed in a separate section. External critique correctly identified that this under-weighted them and that the document's analysis was poorer for not engaging them at full structural depth. v11 promotes both to full-frame status. Three other frames (labour-power analysis, founder-agency ethics, elite-network formation) remain in the excluded section because they function more as critiques of the specific cultural and contractual form the US implementation has taken than as evaluations of the venture model as a capital-allocation technology; they are named and treated briefly so the reader can pick them up if they find them more central than the chosen seven.</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A: Market efficiency</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by how efficiently it converts inputs (capital, talent) into outputs (technologies, jobs, returns) compared to alternative capital allocation systems. It treats aggregate output as the central measure and weights revealed preferences (what people actually buy, what investors actually fund) above stated preferences. Origins in classical and neoclassical economics.</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B: Welfare economics</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by its effects on aggregate welfare, where welfare includes distributional concerns, externalities, and non-market goods (health, autonomy, leisure, environment). It weights gains to the worse-off more heavily than gains to the better-off, and treats wealth concentration as a cost rather than a neutral outcome. Origins in utilitarian philosophy, capabilities theory (Sen, Nussbaum), and modern welfare economics.</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C: Institutional design</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by whether its incentives, governance structures, and accountability mechanisms align the interests of those operating inside it with the interests of those affected by its outputs. It treats the question as a design problem: given what humans and organisations actually do, what set of rules produces the best outcomes? Origins in public-choice theory, mechanism design, and modern institutional economics (North, Ostrom, Acemoglu).</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D: Selection-based optimisation</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as an evolutionary search over a large space of possible solutions, finding outcomes no central designer could plan. It treats variation, differential survival, and propagation as the engine of progress, and accepts that the search has costs for the units being selected. Origins in evolutionary biology, Hayek's information-aggregation theory, and complexity economics.</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E: Ethical consent</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by whether the participants in the system — founders, employees, end users — participate under information conditions that allow informed consent to the costs and risks the system imposes. It treats the ethics of recruitment and disclosure as central, and asks whether the apparent revealed preferences of participants reflect actual choices made under accurate information about the distribution of outcomes. Origins in medical-ethics consent literature, Rawlsian veil-of-ignorance reasoning, and the legal doctrine of informed consent in commercial contexts.</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F: Civilisational progress</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by its contribution to the long-arc trajectory of human capabilities and existential security, on horizons of decades to centuries rather than years. It treats technological development as the relevant unit of analysis, with shorter-term distributional and welfare effects discounted relative to whether the system enables or impedes the technological transitions humanity needs to navigate (energy abundance, climate stabilisation, biological tools, AI alignment, space settlement, life extension). Origins in long-termist philosophy (Parfit, Bostrom, MacAskill), economic history of technology (Mokyr, Romer), and the techno-progressive tradition.</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8C4D1" w:sz="4"/>
              <w:left w:val="single" w:color="B8C4D1" w:sz="4"/>
              <w:bottom w:val="single" w:color="B8C4D1" w:sz="4"/>
              <w:right w:val="single" w:color="B8C4D1" w:sz="4"/>
            </w:tcBorders>
            <w:shd w:fill="1F3864" w:val="clear"/>
            <w:tcMar>
              <w:top w:type="dxa" w:w="120"/>
              <w:left w:type="dxa" w:w="160"/>
              <w:bottom w:type="dxa" w:w="120"/>
              <w:right w:type="dxa" w:w="160"/>
            </w:tcMar>
          </w:tcPr>
          <w:p>
            <w:pPr>
              <w:spacing w:after="0" w:line="280"/>
            </w:pPr>
            <w:r>
              <w:rPr>
                <w:rFonts w:ascii="Calibri" w:cs="Calibri" w:eastAsia="Calibri" w:hAnsi="Calibri"/>
                <w:b/>
                <w:bCs/>
                <w:color w:val="FFFFFF"/>
                <w:sz w:val="22"/>
                <w:szCs w:val="22"/>
              </w:rPr>
              <w:t xml:space="preserve">Frame G: Geopolitical and strategic competition</w:t>
            </w:r>
          </w:p>
        </w:tc>
        <w:tc>
          <w:tcPr>
            <w:tcW w:type="dxa" w:w="6960"/>
            <w:tcBorders>
              <w:top w:val="single" w:color="B8C4D1" w:sz="4"/>
              <w:left w:val="single" w:color="B8C4D1" w:sz="4"/>
              <w:bottom w:val="single" w:color="B8C4D1" w:sz="4"/>
              <w:right w:val="single" w:color="B8C4D1" w:sz="4"/>
            </w:tcBorders>
            <w:shd w:fill="F4F6F9" w:val="clear"/>
            <w:tcMar>
              <w:top w:type="dxa" w:w="120"/>
              <w:left w:type="dxa" w:w="160"/>
              <w:bottom w:type="dxa" w:w="120"/>
              <w:right w:type="dxa" w:w="160"/>
            </w:tcMar>
          </w:tcPr>
          <w:p>
            <w:pPr>
              <w:spacing w:after="0" w:line="280"/>
            </w:pPr>
            <w:r>
              <w:rPr>
                <w:rFonts w:ascii="Calibri" w:cs="Calibri" w:eastAsia="Calibri" w:hAnsi="Calibri"/>
                <w:sz w:val="20"/>
                <w:szCs w:val="20"/>
              </w:rPr>
              <w:t xml:space="preserve">The frame evaluates VC by which national or bloc-level political community captures the strategic benefits of which technologies, and what the resulting power distribution does to global political order. It treats the question of whether 21st-century general-purpose technologies (advanced AI, semiconductors, synthetic biology, quantum, space) develop under liberal-democratic or authoritarian institutional environments as a first-order welfare consideration that does not reduce cleanly to domestic distributional arithmetic. Origins in classical realism (Mearsheimer, Waltz), economic statecraft literature (Hirschman, Drezner), and contemporary technology-and-power scholarship.</w:t>
            </w:r>
          </w:p>
        </w:tc>
      </w:tr>
    </w:tbl>
    <w:p>
      <w:pPr>
        <w:spacing w:after="120"/>
      </w:pPr>
      <w:r>
        <w:t xml:space="preserve"/>
      </w:r>
    </w:p>
    <w:p>
      <w:pPr>
        <w:spacing w:after="160" w:line="312"/>
        <w:jc w:val="both"/>
      </w:pPr>
      <w:r>
        <w:rPr>
          <w:rFonts w:ascii="Calibri" w:cs="Calibri" w:eastAsia="Calibri" w:hAnsi="Calibri"/>
          <w:sz w:val="22"/>
          <w:szCs w:val="22"/>
        </w:rPr>
        <w:t xml:space="preserve">Each frame produces a distinct evaluation of the venture system. None reduces cleanly to any of the others. Each is internally consistent. The empirical evidence below is presented as observed facts, with each fact followed by interpretations from each frame. The verdicts produced by each frame are collected in Part X.</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Frame-selection bias: what these seven frames still leave out</w:t>
      </w:r>
    </w:p>
    <w:p>
      <w:pPr>
        <w:spacing w:after="160" w:line="312"/>
        <w:jc w:val="both"/>
      </w:pPr>
      <w:r>
        <w:rPr>
          <w:rFonts w:ascii="Calibri" w:cs="Calibri" w:eastAsia="Calibri" w:hAnsi="Calibri"/>
          <w:sz w:val="22"/>
          <w:szCs w:val="22"/>
        </w:rPr>
        <w:t xml:space="preserve">The choice of these seven frames rather than others is itself a frame-selection move with its own bias. v11 promotes civilisational progress (Frame F) and geopolitical and strategic competition (Frame G) from the previously-excluded list to full-frame status because external critique correctly identified that those two were under-weighted at marginalia status. Three frames remain in the excluded section because they function more as critiques of the specific cultural and contractual form the US implementation has taken than as evaluations of the venture model as a capital-allocation technology. They are named below so the reader can pick them up if they find them more central than the chosen seven.</w:t>
      </w:r>
    </w:p>
    <w:p>
      <w:pPr>
        <w:pStyle w:val="Heading3"/>
        <w:spacing w:after="120" w:before="220"/>
      </w:pPr>
      <w:r>
        <w:rPr>
          <w:rFonts w:ascii="Calibri" w:cs="Calibri" w:eastAsia="Calibri" w:hAnsi="Calibri"/>
          <w:b/>
          <w:bCs/>
          <w:color w:val="1A2E45"/>
          <w:sz w:val="24"/>
          <w:szCs w:val="24"/>
        </w:rPr>
        <w:t xml:space="preserve">Labour-power analysis</w:t>
      </w:r>
    </w:p>
    <w:p>
      <w:pPr>
        <w:spacing w:after="160" w:line="312"/>
        <w:jc w:val="both"/>
      </w:pPr>
      <w:r>
        <w:rPr>
          <w:rFonts w:ascii="Calibri" w:cs="Calibri" w:eastAsia="Calibri" w:hAnsi="Calibri"/>
          <w:sz w:val="22"/>
          <w:szCs w:val="22"/>
        </w:rPr>
        <w:t xml:space="preserve">The Marxist and post-Marxist tradition treats capital-labour relations as the central evaluative dimension of any economic institution. Under this frame, founders and early employees of venture-backed startups are not principally entrepreneurs or partners in a venture but labourers selling specialised cognitive work to capital, with carried interest and equity grants functioning as historically novel forms of profit-sharing that obscure rather than dissolve the underlying capital-labour relation. The frame would surface considerations the existing seven do not: the structural position of founders as labour-with-deferred-compensation rather than as quasi-capital; the use of equity narratives to suppress wage demands among technical workers; the function of VC in disciplining the labour market for high-skill cognitive work; the distributional politics of startup employee equity as a substitute for collective bargaining. Origins in Marx, more recent development in Kalecki, Piketty, and the contemporary capital-share-of-income literature.</w:t>
      </w:r>
    </w:p>
    <w:p>
      <w:pPr>
        <w:pStyle w:val="Heading3"/>
        <w:spacing w:after="120" w:before="220"/>
      </w:pPr>
      <w:r>
        <w:rPr>
          <w:rFonts w:ascii="Calibri" w:cs="Calibri" w:eastAsia="Calibri" w:hAnsi="Calibri"/>
          <w:b/>
          <w:bCs/>
          <w:color w:val="1A2E45"/>
          <w:sz w:val="24"/>
          <w:szCs w:val="24"/>
        </w:rPr>
        <w:t xml:space="preserve">Founder-agency ethics</w:t>
      </w:r>
    </w:p>
    <w:p>
      <w:pPr>
        <w:spacing w:after="160" w:line="312"/>
        <w:jc w:val="both"/>
      </w:pPr>
      <w:r>
        <w:rPr>
          <w:rFonts w:ascii="Calibri" w:cs="Calibri" w:eastAsia="Calibri" w:hAnsi="Calibri"/>
          <w:sz w:val="22"/>
          <w:szCs w:val="22"/>
        </w:rPr>
        <w:t xml:space="preserve">A virtue-ethics or duty-ethics frame treats the founder as a moral actor with obligations beyond consent — obligations to employees, to early investors, to users, to communities, to the world. Under this frame, the question of whether VC is good or bad is partly a question of whether it produces good founders, where 'good' is measured against the founder's own ethical agency and the duties they assume by founding. The frame would surface considerations the existing seven do not: whether the venture institutional environment cultivates or erodes founders' moral judgment; whether the structural pressure to grow at any cost makes founders complicit in harms they would not otherwise accept; whether the founder's responsibilities to stakeholders are adequately acknowledged in the legal and cultural form of the venture-backed startup; whether the venture system selects for or against founders with strong ethical commitments. Origins in Aristotelian virtue ethics, contemporary work on professional ethics (Pellegrino in medicine, Larmore in political philosophy), and stakeholder-theory accounts of corporate purpose (Freeman, Donaldson).</w:t>
      </w:r>
    </w:p>
    <w:p>
      <w:pPr>
        <w:pStyle w:val="Heading3"/>
        <w:spacing w:after="120" w:before="220"/>
      </w:pPr>
      <w:r>
        <w:rPr>
          <w:rFonts w:ascii="Calibri" w:cs="Calibri" w:eastAsia="Calibri" w:hAnsi="Calibri"/>
          <w:b/>
          <w:bCs/>
          <w:color w:val="1A2E45"/>
          <w:sz w:val="24"/>
          <w:szCs w:val="24"/>
        </w:rPr>
        <w:t xml:space="preserve">Elite-network formation</w:t>
      </w:r>
    </w:p>
    <w:p>
      <w:pPr>
        <w:spacing w:after="160" w:line="312"/>
        <w:jc w:val="both"/>
      </w:pPr>
      <w:r>
        <w:rPr>
          <w:rFonts w:ascii="Calibri" w:cs="Calibri" w:eastAsia="Calibri" w:hAnsi="Calibri"/>
          <w:sz w:val="22"/>
          <w:szCs w:val="22"/>
        </w:rPr>
        <w:t xml:space="preserve">A sociological frame treats VC as a mechanism for reproducing and concentrating elite social networks rather than as a capital allocation system per se. Under this frame, the question is what role venture capital plays in determining which families, schools, social networks, and cultural communities access the future, and how the network effects of being inside the venture system reproduce themselves across generations. The frame would surface considerations the existing seven do not: the over-representation of Stanford, Harvard, MIT, Oxford, Cambridge, and INSEAD graduates among VC-funded founders; the structural function of accelerators (YC, Techstars, Entrepreneur First) as elite-network admission gates; the carried interest tax treatment as a wealth-preservation mechanism for the existing professional-managerial class; the role of family offices in transmitting venture access across generations; the cultural homogeneity of the venture-funded founder cohort and what that means for which problems get solved and whose lives get improved. Origins in Bourdieu's sociology of capital types, Mills's power-elite analysis, contemporary work on credentialism (Markovits, Sandel), and the sociology of professions.</w:t>
      </w:r>
    </w:p>
    <w:p>
      <w:pPr>
        <w:pStyle w:val="Heading2"/>
        <w:spacing w:after="160" w:before="300"/>
      </w:pPr>
      <w:r>
        <w:rPr>
          <w:rFonts w:ascii="Calibri" w:cs="Calibri" w:eastAsia="Calibri" w:hAnsi="Calibri"/>
          <w:b/>
          <w:bCs/>
          <w:color w:val="1F3864"/>
          <w:sz w:val="28"/>
          <w:szCs w:val="28"/>
        </w:rPr>
        <w:t xml:space="preserve">Why these seven frames</w:t>
      </w:r>
    </w:p>
    <w:p>
      <w:pPr>
        <w:spacing w:after="160" w:line="312"/>
        <w:jc w:val="both"/>
      </w:pPr>
      <w:r>
        <w:rPr>
          <w:rFonts w:ascii="Calibri" w:cs="Calibri" w:eastAsia="Calibri" w:hAnsi="Calibri"/>
          <w:sz w:val="22"/>
          <w:szCs w:val="22"/>
        </w:rPr>
        <w:t xml:space="preserve">The chosen seven (market efficiency, welfare economics, institutional design, selection-based optimisation, ethical consent, civilisational progress, geopolitical and strategic competition) span economics, philosophy, ethics, long-termist analysis, and international-relations theory. Together they cover the dominant evaluative traditions in the VC discourse and the strongest critiques of it. They were chosen for tractability — each has measurable empirical anchors that the document can use — and for the breadth of disagreement they collectively express.</w:t>
      </w:r>
    </w:p>
    <w:p>
      <w:pPr>
        <w:spacing w:after="160" w:line="312"/>
        <w:jc w:val="both"/>
      </w:pPr>
      <w:r>
        <w:rPr>
          <w:rFonts w:ascii="Calibri" w:cs="Calibri" w:eastAsia="Calibri" w:hAnsi="Calibri"/>
          <w:sz w:val="22"/>
          <w:szCs w:val="22"/>
        </w:rPr>
        <w:t xml:space="preserve">The three excluded frames each surface considerations the chosen seven do not, but each is more naturally read as a critique of the specific US implementation than as an evaluation of the venture model as a capital-allocation technology. They are named so a reader more compelled by one of them can pick it up; they are not developed further because doing so would require empirical evidence the document either does not have ready access to (sociological network analysis at population scale) or could not treat at the same depth without substantially expanding the document's length.</w:t>
      </w:r>
    </w:p>
    <w:p>
      <w:pPr>
        <w:spacing w:after="160" w:line="312"/>
        <w:jc w:val="both"/>
      </w:pPr>
      <w:r>
        <w:rPr>
          <w:rFonts w:ascii="Calibri" w:cs="Calibri" w:eastAsia="Calibri" w:hAnsi="Calibri"/>
          <w:sz w:val="22"/>
          <w:szCs w:val="22"/>
        </w:rPr>
        <w:t xml:space="preserve">The selection is therefore defensible but not neutral. A reader who finds themselves more compelled by one of the three excluded frames — who treats labour-power, founder-agency, or elite-network reproduction as the relevant evaluative dimension rather than the seven the document develops — will reach different conclusions about VC than the document supports, and they will be reasoning correctly given their frame choice.</w:t>
      </w:r>
    </w:p>
    <w:p>
      <w:pPr>
        <w:spacing w:after="80" w:line="260"/>
      </w:pPr>
      <w:r>
        <w:rPr>
          <w:rFonts w:ascii="Calibri" w:cs="Calibri" w:eastAsia="Calibri" w:hAnsi="Calibri"/>
          <w:b/>
          <w:bCs/>
          <w:color w:val="6B5B8A"/>
          <w:sz w:val="18"/>
          <w:szCs w:val="18"/>
        </w:rPr>
        <w:t xml:space="preserve">[INTERPRETIVE]  </w:t>
      </w:r>
      <w:r>
        <w:rPr>
          <w:rFonts w:ascii="Calibri" w:cs="Calibri" w:eastAsia="Calibri" w:hAnsi="Calibri"/>
          <w:i/>
          <w:iCs/>
          <w:color w:val="555555"/>
          <w:sz w:val="18"/>
          <w:szCs w:val="18"/>
        </w:rPr>
        <w:t xml:space="preserve">The selection of evaluative frames is itself a normative choice. No frame-selection methodology is neutral; the document's choice reflects its author's reading of the dominant traditions and the available empirical evidence, with v11 incorporating reviewer critique that v10 under-weighted civilisational and geopolitical considerations.</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III — Assumptions made explicit</w:t>
      </w:r>
    </w:p>
    <w:p>
      <w:pPr>
        <w:spacing w:after="160" w:line="312"/>
        <w:jc w:val="both"/>
      </w:pPr>
      <w:r>
        <w:rPr>
          <w:rFonts w:ascii="Calibri" w:cs="Calibri" w:eastAsia="Calibri" w:hAnsi="Calibri"/>
          <w:sz w:val="22"/>
          <w:szCs w:val="22"/>
        </w:rPr>
        <w:t xml:space="preserve">Beyond the choice of frame, several assumptions affect any answer. The four below have the largest effect on the document's findings.</w:t>
      </w:r>
    </w:p>
    <w:p>
      <w:pPr>
        <w:pStyle w:val="Heading3"/>
        <w:spacing w:after="120" w:before="220"/>
      </w:pPr>
      <w:r>
        <w:rPr>
          <w:rFonts w:ascii="Calibri" w:cs="Calibri" w:eastAsia="Calibri" w:hAnsi="Calibri"/>
          <w:b/>
          <w:bCs/>
          <w:color w:val="1A2E45"/>
          <w:sz w:val="24"/>
          <w:szCs w:val="24"/>
        </w:rPr>
        <w:t xml:space="preserve">What time horizon counts?</w:t>
      </w:r>
    </w:p>
    <w:p>
      <w:pPr>
        <w:spacing w:after="160" w:line="312"/>
        <w:jc w:val="both"/>
      </w:pPr>
      <w:r>
        <w:rPr>
          <w:rFonts w:ascii="Calibri" w:cs="Calibri" w:eastAsia="Calibri" w:hAnsi="Calibri"/>
          <w:sz w:val="22"/>
          <w:szCs w:val="22"/>
        </w:rPr>
        <w:t xml:space="preserve">A 5-year, 25-year, and 100-year horizon produce different answers. The 5-year view favours quick measurable outputs (jobs, returns). The 25-year view favours compound effects (cluster development, founder recycling, the next generation of companies built by exited founders). The 100-year view favours long-tail technologies (mRNA platforms, semiconductor industry, internet protocols) whose welfare effects compound across decades. Most data in this document operates at 10-25 years.</w:t>
      </w:r>
    </w:p>
    <w:p>
      <w:pPr>
        <w:pStyle w:val="Heading3"/>
        <w:spacing w:after="120" w:before="220"/>
      </w:pPr>
      <w:r>
        <w:rPr>
          <w:rFonts w:ascii="Calibri" w:cs="Calibri" w:eastAsia="Calibri" w:hAnsi="Calibri"/>
          <w:b/>
          <w:bCs/>
          <w:color w:val="1A2E45"/>
          <w:sz w:val="24"/>
          <w:szCs w:val="24"/>
        </w:rPr>
        <w:t xml:space="preserve">How is welfare aggregated across people?</w:t>
      </w:r>
    </w:p>
    <w:p>
      <w:pPr>
        <w:spacing w:after="160" w:line="312"/>
        <w:jc w:val="both"/>
      </w:pPr>
      <w:r>
        <w:rPr>
          <w:rFonts w:ascii="Calibri" w:cs="Calibri" w:eastAsia="Calibri" w:hAnsi="Calibri"/>
          <w:sz w:val="22"/>
          <w:szCs w:val="22"/>
        </w:rPr>
        <w:t xml:space="preserve">If gains to the global poor are weighted equally with gains to the already-wealthy, VC's distributional pattern reads one way. If gains to the worse-off are weighted more heavily (most welfare-economic frameworks), the same pattern reads differently. The data does not pick the weighting.</w:t>
      </w:r>
    </w:p>
    <w:p>
      <w:pPr>
        <w:pStyle w:val="Heading3"/>
        <w:spacing w:after="120" w:before="220"/>
      </w:pPr>
      <w:r>
        <w:rPr>
          <w:rFonts w:ascii="Calibri" w:cs="Calibri" w:eastAsia="Calibri" w:hAnsi="Calibri"/>
          <w:b/>
          <w:bCs/>
          <w:color w:val="1A2E45"/>
          <w:sz w:val="24"/>
          <w:szCs w:val="24"/>
        </w:rPr>
        <w:t xml:space="preserve">What counts as a benefit?</w:t>
      </w:r>
    </w:p>
    <w:p>
      <w:pPr>
        <w:spacing w:after="160" w:line="312"/>
        <w:jc w:val="both"/>
      </w:pPr>
      <w:r>
        <w:rPr>
          <w:rFonts w:ascii="Calibri" w:cs="Calibri" w:eastAsia="Calibri" w:hAnsi="Calibri"/>
          <w:sz w:val="22"/>
          <w:szCs w:val="22"/>
        </w:rPr>
        <w:t xml:space="preserve">Material consumption, capability expansion (Sen / Nussbaum), subjective wellbeing, and existential security are all defensible operationalisations. VC performs differently against each: strong on material consumption, mixed on capability expansion, ambiguous on subjective wellbeing, contested on existential security.</w:t>
      </w:r>
    </w:p>
    <w:p>
      <w:pPr>
        <w:pStyle w:val="Heading3"/>
        <w:spacing w:after="120" w:before="220"/>
      </w:pPr>
      <w:r>
        <w:rPr>
          <w:rFonts w:ascii="Calibri" w:cs="Calibri" w:eastAsia="Calibri" w:hAnsi="Calibri"/>
          <w:b/>
          <w:bCs/>
          <w:color w:val="1A2E45"/>
          <w:sz w:val="24"/>
          <w:szCs w:val="24"/>
        </w:rPr>
        <w:t xml:space="preserve">What is the relevant counterfactual?</w:t>
      </w:r>
    </w:p>
    <w:p>
      <w:pPr>
        <w:spacing w:after="160" w:line="312"/>
        <w:jc w:val="both"/>
      </w:pPr>
      <w:r>
        <w:rPr>
          <w:rFonts w:ascii="Calibri" w:cs="Calibri" w:eastAsia="Calibri" w:hAnsi="Calibri"/>
          <w:sz w:val="22"/>
          <w:szCs w:val="22"/>
        </w:rPr>
        <w:t xml:space="preserve">Compared to bank lending? Public R&amp;D funding? A hybrid model? A different cultural form of the same VC model (the European ecosystem)? Each comparison produces different findings. Part VII walks through the major counterfactuals.</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IV — The empirical evidence: facts and competing interpretations</w:t>
      </w:r>
    </w:p>
    <w:p>
      <w:pPr>
        <w:spacing w:after="160" w:line="312"/>
        <w:jc w:val="both"/>
      </w:pPr>
      <w:r>
        <w:rPr>
          <w:rFonts w:ascii="Calibri" w:cs="Calibri" w:eastAsia="Calibri" w:hAnsi="Calibri"/>
          <w:sz w:val="22"/>
          <w:szCs w:val="22"/>
        </w:rPr>
        <w:t xml:space="preserve">Each major claim is presented as an observed fact (with evidence-strength label) followed by interpretations from each of the seven frames. Where the empirical reality differs across the three jurisdictions — US, UK, EU — the variation is presented as part of the fact, not collapsed into a global average that hides it. Where two frames produce similar interpretations of a particular fact, both are stated to make the alignment explicit.</w:t>
      </w:r>
    </w:p>
    <w:p>
      <w:pPr>
        <w:pStyle w:val="Heading2"/>
        <w:spacing w:after="160" w:before="300"/>
      </w:pPr>
      <w:r>
        <w:rPr>
          <w:rFonts w:ascii="Calibri" w:cs="Calibri" w:eastAsia="Calibri" w:hAnsi="Calibri"/>
          <w:b/>
          <w:bCs/>
          <w:color w:val="1F3864"/>
          <w:sz w:val="28"/>
          <w:szCs w:val="28"/>
        </w:rPr>
        <w:t xml:space="preserve">On financial returns</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On the US side: Cambridge Associates' index shows US venture capital delivered a 14.3% compound annual growth rate over the 25-year period ending 2024, against 7.4% for the S&amp;P 500. Top-quartile US funds have delivered 25%+ annualised returns over 25-year horizons. Co-investments alongside top-tier US venture firms have delivered approximately 76.1% annualised returns over 20 years against 5.9% for the S&amp;P 500. The 2022-23 period produced two consecutive years of negative returns; the index recovered to 6.2% in 2024 and 6.4% in H1 2025. On the UK side: long-run UK VC returns are harder to benchmark with comparable rigour, but BVCA data through 2024 suggests UK venture funds in the top quartile have delivered competitive returns to US peers, while median UK funds have underperformed median US funds. On the EU side: long-run aggregate returns have been lower than US peers across most vintages, with strong-performing exceptions concentrated in deep tech and biotech (where European funds have at times outperformed US peers). The overall European median is closer to public-market returns than the US median is. The dispersion across funds is substantial in all three jurisdictions: median funds typically underperform the index, while top-decile funds capture the bulk of the asset class's excess return.</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US Cambridge Associates data is audited from quarterly fund financial statements; covers 1,700+ funds with $1.6 trillion total value. UK BVCA data is comprehensive but has shorter time series. EU long-run data is more vintage-sensitive and harder to compare like-for-like across member states. Cross-jurisdiction comparison should be read with this asymmetry in mind.</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VC efficiently allocates capital to its highest-return uses. The excess return represents real economic value created by funding ventures that would not have existed under bank-led finance. The dispersion is irrelevant in aggregate: capital flows to the top-quartile managers, and the index measures what the asset class delivers as an investable category. The US's 14.3% over 25 years against the S&amp;P 500's 7.4% is a sustained doubling of returns over a generation, distributed through the institutional LP base to public-sector pensions, university operations including financial aid, and the philanthropic foundations that support cultural, scientific, and humanitarian work at scale. The fact that European median returns are lower is informative — it tells the frame that the European model is doing something differently (more state-anchored LPs, more patient capital, less endowment-style concentration on top-quartile managers) that comes with lower returns but, by Frame A's own measures, lower aggregate output as well.</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The aggregate index masks distribution. The excess return accrues mostly to top-quartile managers and their LPs, who are predominantly already-wealthy institutions. The institutional LP base means some excess return reaches public-sector workers via pensions and university operations via endowments — but the bulk of the surplus is captured by GPs (via carried interest) and by the wealthier strata of LP institutions. A typical CalPERS member receives a small fraction of a percent of their pension benefit from the VC slice. A Harvard endowment dollar funds operations that overwhelmingly serve a wealthy student body and a small research community. Family-office and HNW LP money flows directly back to wealthy individuals. The European model produces lower headline returns but a measurably broader distributional profile: state-anchored LPs (the European Investment Fund, KfW, Bpifrance) channel returns through public-sector budget lines that have democratic accountability, which the frame reads as a structurally better distributional outcome even if the aggregate output is smaller.</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The index does not capture externalities (founder mental health, labour market distortions, capital crowding-out from non-venture-fundable sectors, secondary effects of attention-economy products on civic life). A return number that omits its costs overstates the system's net contribution. Different incentive structures (longer fund cycles, mandatory founder welfare provisions, broader LP base) could in principle preserve much of the return while reducing the costs.</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The dispersion is the point. A selection system needs winners large enough to carry the failures, and the long right tail is the structural signature of a search engine working as designed. The mediocre middle of the dispersion represents the search exploring the space; the right tail represents the search finding what works. Both are necessary.</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aggregate return numbers describe what the system produces, not what individual participants experience. A founder reading the 14.3% figure as a reason to enter the system is reading aggregate fund-level data and applying it to a venture-level decision the data does not address. The frame's question is whether participants' decisions to enter the system reflect informed assessment of the actual outcome distribution they face.</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The 14.3% return is a measure of how efficiently capital is being directed toward technologies whose long-arc value compounds across decades and centuries. The frame treats sustained excess return as evidence that the system is finding investments other capital allocation mechanisms cannot find, and treats finding those investments as the precondition for civilisational progress. The fact that European median returns are lower is concerning rather than reassuring under this frame: lower returns suggest the European model is funding less aggressively at the technological frontier, which means slower civilisational progress, which is a first-order cost on long horizons even if it produces better short-horizon distributional outcomes.</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The 14.3% return is sustained inside a US-led liberal-democratic capital allocation system, which means the technologies funded by that capital develop primarily under US-and-allied institutional conditions rather than under state-directed authoritarian alternatives. Under this frame, the financial return is partly a proxy for the geopolitical question of which political community captures the strategic benefits of which technologies. The European return gap matters because it reflects under-investment in deep-tech and frontier technologies that have national-security and bloc-level strategic implications, and because it pushes more frontier development toward US-incorporated companies that are then subject to US export controls, US national-security review, and US political conditions.</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On the technologies VC has funded</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Companies that have most transformed daily life in the past forty years received venture capital at decisive early stages. The dominant cases are US-incorporated: Apple, Intel, Genentech, Cisco, Google, Amazon, Facebook, Tesla, Moderna, Stripe, Airbnb, OpenAI, Anthropic. The UK has produced its own outsized winners: ARM (semiconductor IP, now central to mobile and increasingly to AI compute), DeepMind (acquired by Google for ~$650m in 2014, central to AlphaFold and the AI revolution), Wise (cross-border payments), Revolut, Octopus Energy, BenevolentAI, Quantinuum (quantum computing). The EU has produced Spotify (Sweden), SAP (Germany), Adyen (Netherlands), ASML (Netherlands, foundational to global semiconductor manufacturing), Mistral AI (France), Klarna (Sweden), Skype (Estonia), Wayve (UK/Cambridge), Bolt (Estonia), Hugging Face (France/US). Stanford's Lerner and Gornall calculated that in 2013 the 18% of US public companies that were venture-backed accounted for 20% of total public-company market capitalisation, 42% of total public-company R&amp;D spending (more than a quarter of all US R&amp;D, public and private combined), and approximately 4 million jobs. mRNA vaccine technology, developed across decades with foundational public research at NIH and at universities including BioNTech's German research base, was commercialised by VC-funded firms in time for the COVID-19 response. Anthropic's seven co-founders all became billionaires when the company was valued at $60bn in early 2025; Mistral AI's seven-figure-USD-valuation moves placed several French co-founders into similar wealth in 2024-2025.</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NBER, Stanford, and US Census Bureau microdata; consistent across decades; the specific named-company list is uncontroversial.</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VC has been the indispensable funding mechanism for technologies that other capital structures could not have underwritten. Banks do not lend pre-revenue. Public markets do not buy. Government grants exist at smaller scale and slower cycles. The technologies that have most improved daily life were largely venture-financed at their crucial stages — vaccines that ended a pandemic, search infrastructure that democratised information access for billions, biotech therapeutics that treat previously untreatable diseases, energy storage that is enabling the renewable transition, and the AI tools that are reshaping productivity across knowledge work.</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The same technologies have produced documented negative externalities, though the magnitude and causality of several of them remain contested in the empirical literature. Adolescent mental health worsened substantially in the US, UK, and Canada from approximately 2012 onward, coinciding with smartphone-and-social-media adoption (Twenge, Haidt and colleagues argue causal connection; Orben and Przybylski argue the cross-sectional correlations are smaller than between mental health and innocuous variables like eating potatoes; the 2023 US Surgeon General Advisory called for longitudinal research that is now underway, including a Georgetown clinical trial). Labour displacement in industries the platforms reshaped is real but its net employment effect at economy level is contested. Concentration of platform power in a small number of firms whose governance is essentially private is documented. Civic-discourse degradation through engagement-optimised recommendation algorithms is documented but its scale and counterfactual are contested. The benefits are real; the negative externalities are also real; the precise welfare arithmetic depends on weightings the empirical literature does not settle.</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Government-funded research at DARPA, NIH, NSF, and university labs produced the foundational science (internet protocols, GPS, basic vaccine research, the mRNA techniques themselves) that VC-funded firms then commercialised. The conventional narrative attributes the technologies primarily to VC; a more accurate accounting credits both layers and recognises that VC operates downstream of the science it commercialises. The institutional design implication is that VC alone is insufficient for the full innovation pipeline. Mazzucato's analysis (The Entrepreneurial State, 2013) makes this case in detail with case studies.</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VC's role is the search-and-selection layer of the innovation pipeline, where many candidate applications of underlying research are tried and few survive. The R&amp;D-intensity finding is consistent with the system functioning as a search engine over commercialisable forms of pre-existing technical capabilities.</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named-success-story narrative is a recruitment tool. Apple, Google, Stripe, Anthropic are the visible examples; the 22,004 companies in the Hall-Woodward dataset are the invisible distribution. The fact that the recruitment messaging emphasises the named outliers more than the underlying distribution affects the consent quality of those entering the system based on it.</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The list of technologies VC has commercialised is, under this frame, the strongest evidence the document marshals. mRNA platforms (whose value extends decades beyond COVID-19 to cancer, autoimmune disease, and as-yet-unimagined therapeutic categories), semiconductor industry capability (which underwrites essentially all subsequent computational progress), search and cloud infrastructure (which restructured global access to information and computation), AI tools (which may compound across multiple decades into the most consequential technology category since electrification), and energy storage (which is enabling the renewable transition that the climate-stabilisation question depends on) are not ordinary consumer products. They are civilisation-scale capability expansions whose full payoff will compound across decades to centuries. The frame treats VC's commercialisation role as one of the most important institutional developments of the late 20th and early 21st centuries, and treats the costs Frame B identifies as small relative to the long-arc payoff being purchased.</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The technologies on the list are general-purpose technologies (semiconductors, AI, biotech) plus essential digital infrastructure (search, cloud, communications). Under this frame, who controls these technologies determines the global power distribution for decades. The fact that the dominant cases are US-incorporated and were funded by US-and-allied venture capital is not incidental — it reflects the fact that the US institutional environment, including its venture system, has been the primary mechanism keeping frontier capability development inside liberal-democratic political space rather than under authoritarian state direction. The European list is narrower and the deep-tech under-funding gap relative to US matters because it pushes more frontier work toward US-incorporated firms with US national-security exposure. The geopolitical implication is that strengthening (rather than redistributing away from) the US venture system, while building parallel European deep-tech capacity, is the structurally important policy direction — not converging Europe toward lower-output equilibria.</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On employment and economic share</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On the US side: between 2018 and 2022, US venture-backed firms made up approximately 0.2% of US firms but employed approximately 12.5% of the workforce. ITIF calculates an odds ratio of 12,677 for firms that are both venture-backed and adopt advanced technology. NVCA maps approximately 3.8 million jobs at venture-backed companies (2020 data); employment growth at venture-backed firms is approximately 8x the rate of non-venture-backed firms. The Google IPO created an estimated 1,000+ millionaires; the Facebook IPO an estimated 1,000+; the WhatsApp acquisition created several hundred. On the UK side: Beauhurst data shows UK venture-backed firms account for a smaller but disproportionate share of UK employment, concentrated heavily in London. Specific UK IPOs and acquisitions have created cohorts of employee millionaires — ARM's 1998 IPO and 2016 SoftBank acquisition, the 2021 Wise direct listing on the LSE, the 2014 DeepMind acquisition by Google, the 2018 Adyen IPO (Dutch but with UK staff). On the EU side: the 2013 Criteo NASDAQ IPO created at least 50 millionaires, primarily French employees of the Paris-based ad-tech company. Spotify's 2018 NYSE direct listing produced several hundred Swedish-employee millionaires. The Adyen 2018 Euronext Amsterdam IPO created Dutch-employee millionaires across multiple cohorts. On aggregate US compensation, 80,000 Hours' analysis using AngelList data finds the average early-stage backend developer at a US startup earns approximately $131,000/year (salary plus expected equity value), against approximately $106,000 for a comparable Mountain View developer at a larger firm — a 24% edge before adjusting for hours worked. Equivalent UK figures suggest a similar but slightly narrower gap; equivalent EU figures vary substantially by country with German and French startup compensation typically offering smaller equity-side upside than US peers. For a typical $50m acquisition of a 100-person US company that has raised $14m of venture capital with standard liquidation preferences, after preferences pay out and founder/executive equity is allocated, the remaining 95 employees split approximately $2.5m of the proceeds, or roughly $27,000 each.</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Multiple independent sources (ITIF, NVCA, NBER, Stanford GSB, AngelList, 80,000 Hours) using US Census Bureau microdata and industry datasets; specific named-IPO employee outcomes are documented; the $50m acquisition arithmetic uses standard liquidation-preference structures.</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The disproportion shows the system creating jobs at a rate other capital allocation systems do not match. The 24% compensation edge over comparable larger-firm work, even averaging across the high failure rate, is meaningful for the typical participant. Successful exits regularly produce dozens to thousands of millionaires per company. Wealth creation has been broad-based at successful firms: among the 1,000+ millionaires created by the Google IPO were administrators, the company chef, early support engineers, and people in roles that would not normally produce that kind of wealth at a comparable larger employer. The Stripe employee population, the Airbnb employee population, the Anthropic employee population — each contains thousands of people who have achieved economic outcomes their pre-startup career trajectory would not have produced. These outcomes represent meaningful upward mobility for the specific employees involved, and the institutional structure of equity compensation is what makes them possible.</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Aggregate employment numbers and named-IPO success stories do not capture the underlying distribution. Venture-backed firms pay disproportionately in equity, most of which becomes worthless when the company fails. The 24% compensation edge for the typical early employee is real but narrower than the recruitment narrative suggests, and the $27,000 typical-employee outcome from a $50m acquisition (after liquidation preferences) is the more representative reality for most successful exits, not the IPO-millionaire outcomes. Hall-Woodward's data shows 34% of venture-backed companies died, with their employees retaining only their salaries. The 12.5% of US workforce employed by venture-backed firms includes a substantial fraction whose lifetime financial outcome from the employment is negative once cash-compensation differential, working-hour differential, and equity-going-to-zero are netted together — the named IPO winners are a small fraction of the population of people who took startup jobs hoping for similar outcomes.</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The figure measures jobs at the venture-funded firm only, not net job effects across the economy. A venture-backed firm that wins displaces incumbents whose workforce is shed elsewhere. Whether the net employment effect is positive depends on labour reallocation elasticity, which is itself contested in the empirical literature.</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The 12.5%-on-0.2% disproportion is the natural output of selection: the few survivors of the search are large because they had to outcompete many alternatives.</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Criteo and Google examples are the visible outcomes; the population of similar-situation employees at companies that did not reach those outcomes is the invisible reference class. An employee weighing whether to take below-market salary in exchange for equity needs both data points to make an informed decision. The recruitment messaging typically foregrounds the visible outcomes.</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Employment in venture-backed firms is concentrated in the sectors that drive long-arc capability expansion (technology, biotech, advanced industrial, AI). The 12.5% of US workforce employed by 0.2% of US firms is partly a measure of how much human cognitive capital is being directed toward civilisationally-significant work rather than toward incumbents whose marginal output adds less to long-run capability accumulation. Under this frame, the disproportion is structurally desirable: it represents the funnelling of high-skill labour toward the technological frontier.</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The 12.5% of US workforce in venture-backed firms is heavily concentrated in technologies of strategic-competition significance (AI, semiconductors, biotech, advanced manufacturing). The talent pipeline this employment shapes is a national-strategic asset; the system's ability to attract international technical talent to US-and-allied venture-funded firms (rather than to firms operating under authoritarian state direction) is structurally important. Recent restrictions on H-1B visas and other inbound talent flows are read by this frame as self-inflicted damage to the strategic position the venture system underwrites.</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On failure rates and the power-law distribution</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Correlation Ventures' analysis of 2009-2018 venture deals found that 64% of deals failed to return principal. Hall and Woodward's analysis of 22,004 venture-backed companies (1987-2008) found 9% reached IPO with the average founder holding $40m equity at IPO; 34% died after going unfunded for over five years; the mean entrepreneur across all 22,004 companies (including failures) exited with $5.8m of equity. Roughly 1% of companies that aspire to obtain venture capital actually receive it. The power-law distribution is consistent across decades and geographies.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Both Correlation Ventures and Hall-Woodward datasets are widely cited; the structure is treated as settled.</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The failure rate is the cost of running a search. Most attempts must fail for the few breakthroughs to be found. The aggregate output (returns, jobs, R&amp;D) is generated despite — indeed because of — the high failure rate. The mean $5.8m founder equity outcome across all 22,004 companies is itself a remarkable result: even averaging in failures, founders capture meaningful wealth.</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The mean is misleading without the median. The Hall-Woodward mean of $5.8m is heavily skewed by the 9% of IPO outcomes at $40m average. The median founder outcome is much lower; for the 34% who died, the founder retained only salary. The failure rate is borne disproportionately by founders and early employees, who lose years of compensation differential, equity that did not vest, and (per the mental-health data) significant welfare. The fund manager and LP capture upside on survivors; cost of failure is socialised across founders and employees.</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The structure is a misalignment problem. The parties bearing the cost of failure (founders, employees) are not the parties capturing the upside of success (LPs, GPs). A different incentive structure could produce different distribution outcomes without changing aggregate returns. Mandatory minimum founder salary, vesting accelerations on involuntary termination, structured rest provisions, mental-health support — all could be written into investment terms.</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The failure rate is the structural signature of selection. A search system without failure is not searching.</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64% failure rate and the 34% died-without-funding rate are findable but not foregrounded in recruitment messaging. The relevant question for this frame is whether prospective founders, at the point of decision, have a clear picture of the distribution they are entering.</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The power-law distribution is, under this frame, structurally necessary rather than incidental. Civilisational-progress payoffs come overwhelmingly from extreme outliers — the technologies that compound across decades are the ones at the far right tail of the distribution, not the median outcomes. A search system that produces a flatter distribution would generate fewer extreme outliers and therefore fewer civilisationally-significant breakthroughs. The 64% failure rate is the price of running a search engine that finds the 1% of attempts that compound into something transformative; reform that compresses the failure rate without preserving the search function would also compress the production of breakthroughs.</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The willingness to tolerate a 64% failure rate is itself a strategic asset. Capital allocation systems that cannot tolerate this failure rate (bank-led finance, state-directed industrial policy in most non-authoritarian forms) cannot match the speed of the venture-funded search. The fact that the US implementation tolerates the failure rate at scale is part of why it produces the breakthroughs that drive strategic-competition outcomes; the European model's lower deal volume and lower failure tolerance produces fewer such breakthroughs. Strategic competition with state-directed authoritarian systems requires preserving the search function, not softening it.</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On founder expectations versus realised outcomes</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Cooper, Woo, and Dunkelberg's 1988 study of 2,994 entrepreneurs found that 81% believed their chance of success was at least 70%, and 33% believed their chance of success was 100%, against US Bureau of Labor Statistics data showing approximately 50% of new businesses survive 5 years and substantially fewer achieve significant success. Subsequent literature (Camerer and Lovallo 1999, Astebro et al. 2014, Kahneman and Lovallo's "Delusions of Success" 2003 in HBR, multiple replications) has documented persistent overestimation of personal success probability among entrepreneurs across multiple national contexts.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Cooper et al. is one of the most-cited studies in entrepreneurship research; the finding has been replicated across multiple national contexts and time periods. The qualitative pattern (entrepreneurial overconfidence) is a settled finding in the literature.</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Entrepreneurial overconfidence may be a feature, not a bug. The economy depends on people willing to attempt projects with low objective success probabilities, and a degree of overconfidence is the psychological mechanism that produces the willingness. Without it, fewer attempts would be made, and fewer breakthrough successes would emerge. The aggregate output the system produces is partly built on individual mis-estimation that statistically averages to net-positive outcomes for the economy as a whole, even if not for the individual mis-estimators.</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Overconfidence is not just a psychological feature — it is the population-level mechanism by which the welfare costs of the system are imposed. The 81% who believe their chance of success is 70%+ and the 33% who believe it is 100% are the population from which the founders who experience the documented mental-health degradation, financial loss, and welfare cost are drawn. Their willingness to enter the system is partly a function of their inaccurate beliefs, which means the welfare cost they bear is partly a function of those beliefs not being corrected.</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Whether overconfidence is endogenous (founders self-select with this trait) or partly produced by the recruitment environment (the messaging amplifies pre-existing optimism) is contested in the literature. Yang, Gaulin, and Seegert's work on the persistence of entrepreneurial overconfidence finds that the overestimation persists even after entrepreneurs have business experience, suggesting it is more dispositional than informational — which has design implications for whether disclosure interventions would actually correct the gap.</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Selection systems require willing entry by participants. Whether the willingness is well-informed or overconfident is, from the system's perspective, irrelevant: the search runs either way. From the participants' perspective, the question is different.</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Cooper et al. finding is the empirical anchor for this frame. The gap between what 81% of entrepreneurs believe their odds are (70%+) and what the underlying base rates actually are (closer to 50% 5-year survival, with substantially lower rates of meaningful success) is the measurable form of the asymmetry the frame is concerned with. Whether this gap constitutes a consent problem depends on whether the gap is corrected by available information (the self-correction counterargument) or persists structurally despite the information being theoretically available.</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Founder overconfidence is the population-level mechanism that produces the willingness to attempt civilisationally-significant work. Without the systematic over-estimation of personal success probability, fewer founders would attempt the long-shot bets that occasionally compound into transformative technologies. Under this frame, the overconfidence Cooper et al. measure is not a bug but the psychological substrate of the search process; correcting it through disclosure interventions would reduce the rate of attempted breakthroughs without necessarily improving the welfare of the population that would have otherwise attempted them. The frame treats this as an uncomfortable but coherent position.</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Founder overconfidence is also the mechanism that sustains the volume of frontier-technology attempts in liberal-democratic political space. Authoritarian state-directed innovation models do not depend on founder overconfidence in the same way — they direct capital to identified strategic priorities through state planning. The Western competitive advantage in producing surprising breakthroughs partly depends on having a population willing to attempt long-shot bets that no central planner would fund. Reform that corrects founder overconfidence might reduce that comparative advantage.</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On demographic distribution of funding</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On the US side: in 2022, Black founders received 1% of US venture funding; Latino founders 1.5%; women-founded teams 1.9%; Black-Latino-women founders 0.1%. After controlling for income, wealth, and education, Black households are 5% less likely to start a business, Hispanic households 6.7% less likely, and female-headed households 3.9% less likely (Bahn, Willensky, McGrew). Black founders start their businesses with approximately one-third of the capital of white founders (Fairlie, Robb, Robinson). On the UK side: Diversity VC and Extend Ventures report all-female founding teams received approximately 2.5% of UK venture funding in 2024; Black founders received approximately 0.5% (Extend Ventures' 2023 Diversity Beyond Gender report). On the EU side: the European Women in VC 2024 report shows that female-founded European startups received approximately 1.5% of capital and mixed-gender founding teams received approximately 19%. The same report finds funds with higher representation of women in senior management produce higher financial returns and lower volatility. Across all three jurisdictions, the funded population is whiter, more male, and more elite-credentialled than the population that applies for funding, which is in turn whiter, more male, and more elite-credentialled than the population of working-age adults.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US data is the most comprehensive (McKinsey, Center for American Progress, Fairlie/Robb/Robinson, all consistent across years). UK data (Diversity VC, Extend Ventures, BVCA Women in UK Venture Capital report) is comprehensive but less granular on intersectional categories. EU data (European Women in VC reports) varies in coverage by member state.</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Under-representation reflects pipeline constraints (fewer applicants from these demographics) more than selection bias inside the funding decision itself. Improving access at the application stage — mentorship programmes, networking access, founder education — is the appropriate response. The system is more meritocratic than the predecessor capital allocation systems (bank lending, family wealth, inherited business networks); the relevant comparison is to history, where access was vastly more restricted.</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The figures are an active feature of the system as it currently operates. Wealth concentration in venture is not just unequal across classes; it is unequal across racial and gender lines in ways that compound existing structural inequalities. The fact that VC has been more meritocratic than predecessor capital allocation systems is not a defence: the relevant comparison is to what fairness would actually require, not to historical baselines.</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Both pipeline and selection effects are present. Network-driven dealflow ("warm intros"), pattern-matching by investors who personally resemble previous successful founders, and the structural under-funding of capital pools held by under-represented groups together produce the observed pattern. The fix is institutional, not exhortative — changes to LP base, fund structure, and dealflow processes can shift the demographic distribution without exhortation.</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The selection mechanism amplifies whatever pre-existing distribution it operates on. If the pool of applicants is demographically skewed, the population of survivors will be more skewed. This is what selection systems do.</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information asymmetry is uneven across demographics. Founders without family networks of prior successful founders, without access to elite university entrepreneurship programmes, without exposure to the specific cultural form of pitch decks and term sheets, enter the system with worse information than founders with those networks. The consent question therefore has a demographic dimension: the founders worst positioned to evaluate the actual distribution they are entering are also the founders the system is least likely to fund.</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The frame is conflicted on this fact. The narrow demographic distribution of funding is, on the one hand, a reduction in the diversity of approaches the search process can explore — frontier breakthroughs sometimes come from outside the dominant founder demographic, and a system that under-funds non-dominant demographics is searching less of the relevant space than it could. On the other hand, the frame is mostly indifferent to which specific humans produce civilisationally-significant work, as long as the work is produced. A reader who weights this frame heavily and the demographic data heavily is committed to the position that broader demographic access would also produce more breakthroughs, which is empirically plausible but not yet demonstrated at the scale needed to drive policy.</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The narrow demographic distribution is read by this frame as a strategic vulnerability. A capital allocation system that excludes most of its own population's talent pool is leaving capability on the table that authoritarian competitors with broader (or differently-broad) talent recruitment may capture. China's massive technical talent pipeline through STEM-heavy higher education, combined with state-directed allocation toward strategic priorities, exploits a wider demographic recruitment base than US venture capital does. The frame reads broadening US founder demographics as a strategic-competition imperative, not just a fairness concern.</w:t>
      </w:r>
    </w:p>
    <w:p>
      <w:pPr>
        <w:spacing w:after="120"/>
      </w:pPr>
      <w:r>
        <w:t xml:space="preserve"/>
      </w:r>
    </w:p>
    <w:p>
      <w:pPr>
        <w:pStyle w:val="Heading2"/>
        <w:spacing w:after="160" w:before="300"/>
      </w:pPr>
      <w:r>
        <w:rPr>
          <w:rFonts w:ascii="Calibri" w:cs="Calibri" w:eastAsia="Calibri" w:hAnsi="Calibri"/>
          <w:b/>
          <w:bCs/>
          <w:color w:val="1F3864"/>
          <w:sz w:val="28"/>
          <w:szCs w:val="28"/>
        </w:rPr>
        <w:t xml:space="preserve">On founder mental health</w:t>
      </w:r>
    </w:p>
    <w:p>
      <w:pPr>
        <w:spacing w:after="120" w:line="312"/>
        <w:jc w:val="both"/>
      </w:pPr>
      <w:r>
        <w:rPr>
          <w:rFonts w:ascii="Calibri" w:cs="Calibri" w:eastAsia="Calibri" w:hAnsi="Calibri"/>
          <w:b/>
          <w:bCs/>
          <w:color w:val="1F3864"/>
          <w:sz w:val="22"/>
          <w:szCs w:val="22"/>
        </w:rPr>
        <w:t xml:space="preserve">Fact.  </w:t>
      </w:r>
      <w:r>
        <w:rPr>
          <w:rFonts w:ascii="Calibri" w:cs="Calibri" w:eastAsia="Calibri" w:hAnsi="Calibri"/>
          <w:sz w:val="22"/>
          <w:szCs w:val="22"/>
        </w:rPr>
        <w:t xml:space="preserve">On the US side: UC San Francisco research by Freeman and colleagues found startup founders are twice as likely to suffer from depression, six times more likely to have ADHD, three times more likely to have substance abuse problems, and ten times more likely to have bipolar disorder than the general population. On the UK and EU side: Sifted's 2024 and 2025 founder mental health surveys (predominantly UK and EU founders) find 72-87% of founders report mental health impacts; 45-46% rate their current mental health as bad or very bad; 53-54% report burnout in the past year; only 23% seek professional support. Startup Snapshot's "Untold Toll" report and Cerevity's 2025 founder burnout statistics confirm similar patterns across both UK and continental European founder populations. The qualitative pattern is consistent across the three jurisdictions: founders score worse than general-population baselines on multiple mental-health dimensions.</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Freeman study widely cited but methodologically limited (sample, self-report, self-selection). Sifted/Startup Snapshot/Cerevity surveys are convenience samples. Qualitative pattern is consistent across studies; precise multiples should be read with caution.</w:t>
      </w:r>
    </w:p>
    <w:p>
      <w:pPr>
        <w:spacing w:after="120" w:line="312"/>
        <w:ind w:left="360"/>
        <w:jc w:val="both"/>
      </w:pPr>
      <w:r>
        <w:rPr>
          <w:rFonts w:ascii="Calibri" w:cs="Calibri" w:eastAsia="Calibri" w:hAnsi="Calibri"/>
          <w:b/>
          <w:bCs/>
          <w:i/>
          <w:iCs/>
          <w:color w:val="6B5B8A"/>
          <w:sz w:val="22"/>
          <w:szCs w:val="22"/>
        </w:rPr>
        <w:t xml:space="preserve">Interpretation A.  </w:t>
      </w:r>
      <w:r>
        <w:rPr>
          <w:rFonts w:ascii="Calibri" w:cs="Calibri" w:eastAsia="Calibri" w:hAnsi="Calibri"/>
          <w:sz w:val="22"/>
          <w:szCs w:val="22"/>
        </w:rPr>
        <w:t xml:space="preserve">Founders self-select into entrepreneurship from a population already enriched in the named conditions; the system attracts these dispositions rather than producing them. Many of the same traits that correlate with the named conditions (high openness, drive, tolerance for unconventional thinking) also correlate with breakthrough founder outcomes. The system's recruitment of these dispositions is part of what enables the breakthrough technologies.</w:t>
      </w:r>
    </w:p>
    <w:p>
      <w:pPr>
        <w:spacing w:after="120" w:line="312"/>
        <w:ind w:left="360"/>
        <w:jc w:val="both"/>
      </w:pPr>
      <w:r>
        <w:rPr>
          <w:rFonts w:ascii="Calibri" w:cs="Calibri" w:eastAsia="Calibri" w:hAnsi="Calibri"/>
          <w:b/>
          <w:bCs/>
          <w:i/>
          <w:iCs/>
          <w:color w:val="6B5B8A"/>
          <w:sz w:val="22"/>
          <w:szCs w:val="22"/>
        </w:rPr>
        <w:t xml:space="preserve">Interpretation B.  </w:t>
      </w:r>
      <w:r>
        <w:rPr>
          <w:rFonts w:ascii="Calibri" w:cs="Calibri" w:eastAsia="Calibri" w:hAnsi="Calibri"/>
          <w:sz w:val="22"/>
          <w:szCs w:val="22"/>
        </w:rPr>
        <w:t xml:space="preserve">The system both selects on and exacerbates these conditions. The 70-100 hour weeks, public-failure mode, equity-cliff incentives, and social isolation degrade founders who do not have these traits and reinforce them in those who do. The welfare cost is real and large, and is not captured in any return number. The ethical question is not whether founders self-selected into the system; it is whether the system, having recruited them, has obligations toward their welfare it currently does not meet.</w:t>
      </w:r>
    </w:p>
    <w:p>
      <w:pPr>
        <w:spacing w:after="120" w:line="312"/>
        <w:ind w:left="360"/>
        <w:jc w:val="both"/>
      </w:pPr>
      <w:r>
        <w:rPr>
          <w:rFonts w:ascii="Calibri" w:cs="Calibri" w:eastAsia="Calibri" w:hAnsi="Calibri"/>
          <w:b/>
          <w:bCs/>
          <w:i/>
          <w:iCs/>
          <w:color w:val="6B5B8A"/>
          <w:sz w:val="22"/>
          <w:szCs w:val="22"/>
        </w:rPr>
        <w:t xml:space="preserve">Interpretation C.  </w:t>
      </w:r>
      <w:r>
        <w:rPr>
          <w:rFonts w:ascii="Calibri" w:cs="Calibri" w:eastAsia="Calibri" w:hAnsi="Calibri"/>
          <w:sz w:val="22"/>
          <w:szCs w:val="22"/>
        </w:rPr>
        <w:t xml:space="preserve">The founder welfare cost is an externality of the current incentive structure. Different terms (longer fund cycles, structured rest, mental-health insurance written into investment terms, GP-LP-founder governance norms that protect non-public-failure pivots) could reduce the cost without changing aggregate output, if institutional design were the priority.</w:t>
      </w:r>
    </w:p>
    <w:p>
      <w:pPr>
        <w:spacing w:after="120" w:line="312"/>
        <w:ind w:left="360"/>
        <w:jc w:val="both"/>
      </w:pPr>
      <w:r>
        <w:rPr>
          <w:rFonts w:ascii="Calibri" w:cs="Calibri" w:eastAsia="Calibri" w:hAnsi="Calibri"/>
          <w:b/>
          <w:bCs/>
          <w:i/>
          <w:iCs/>
          <w:color w:val="6B5B8A"/>
          <w:sz w:val="22"/>
          <w:szCs w:val="22"/>
        </w:rPr>
        <w:t xml:space="preserve">Interpretation D.  </w:t>
      </w:r>
      <w:r>
        <w:rPr>
          <w:rFonts w:ascii="Calibri" w:cs="Calibri" w:eastAsia="Calibri" w:hAnsi="Calibri"/>
          <w:sz w:val="22"/>
          <w:szCs w:val="22"/>
        </w:rPr>
        <w:t xml:space="preserve">Selection systems are indifferent to the welfare of the units being selected. The mental-health pattern is the structural signature of the selection mechanism running on conscious beings who can be harmed.</w:t>
      </w:r>
    </w:p>
    <w:p>
      <w:pPr>
        <w:spacing w:after="120" w:line="312"/>
        <w:ind w:left="360"/>
        <w:jc w:val="both"/>
      </w:pPr>
      <w:r>
        <w:rPr>
          <w:rFonts w:ascii="Calibri" w:cs="Calibri" w:eastAsia="Calibri" w:hAnsi="Calibri"/>
          <w:b/>
          <w:bCs/>
          <w:i/>
          <w:iCs/>
          <w:color w:val="6B5B8A"/>
          <w:sz w:val="22"/>
          <w:szCs w:val="22"/>
        </w:rPr>
        <w:t xml:space="preserve">Interpretation E.  </w:t>
      </w:r>
      <w:r>
        <w:rPr>
          <w:rFonts w:ascii="Calibri" w:cs="Calibri" w:eastAsia="Calibri" w:hAnsi="Calibri"/>
          <w:sz w:val="22"/>
          <w:szCs w:val="22"/>
        </w:rPr>
        <w:t xml:space="preserve">The mental-health prevalence data is documented but is not part of standard recruitment messaging. A prospective founder weighing whether to commit to the venture path is not typically given access to the population-level outcome distribution — either financial or psychological — of similarly-situated founders.</w:t>
      </w:r>
    </w:p>
    <w:p>
      <w:pPr>
        <w:spacing w:after="120" w:line="312"/>
        <w:ind w:left="360"/>
        <w:jc w:val="both"/>
      </w:pPr>
      <w:r>
        <w:rPr>
          <w:rFonts w:ascii="Calibri" w:cs="Calibri" w:eastAsia="Calibri" w:hAnsi="Calibri"/>
          <w:b/>
          <w:bCs/>
          <w:i/>
          <w:iCs/>
          <w:color w:val="6B5B8A"/>
          <w:sz w:val="22"/>
          <w:szCs w:val="22"/>
        </w:rPr>
        <w:t xml:space="preserve">Interpretation F.  </w:t>
      </w:r>
      <w:r>
        <w:rPr>
          <w:rFonts w:ascii="Calibri" w:cs="Calibri" w:eastAsia="Calibri" w:hAnsi="Calibri"/>
          <w:sz w:val="22"/>
          <w:szCs w:val="22"/>
        </w:rPr>
        <w:t xml:space="preserve">The mental-health pattern is, under this frame, a real cost but one that operates on a population whose work produces civilisationally-significant breakthroughs. The frame is uncomfortable with this trade-off but does not dissolve it: the welfare cost to the founder cohort is borne in service of capability expansions that benefit much larger populations across longer time horizons. Under most long-termist frameworks, the trade-off is acceptable in net terms, though the frame would still endorse better support structures within the system to reduce the welfare cost where doing so does not impair the search function.</w:t>
      </w:r>
    </w:p>
    <w:p>
      <w:pPr>
        <w:spacing w:after="120" w:line="312"/>
        <w:ind w:left="360"/>
        <w:jc w:val="both"/>
      </w:pPr>
      <w:r>
        <w:rPr>
          <w:rFonts w:ascii="Calibri" w:cs="Calibri" w:eastAsia="Calibri" w:hAnsi="Calibri"/>
          <w:b/>
          <w:bCs/>
          <w:i/>
          <w:iCs/>
          <w:color w:val="6B5B8A"/>
          <w:sz w:val="22"/>
          <w:szCs w:val="22"/>
        </w:rPr>
        <w:t xml:space="preserve">Interpretation G.  </w:t>
      </w:r>
      <w:r>
        <w:rPr>
          <w:rFonts w:ascii="Calibri" w:cs="Calibri" w:eastAsia="Calibri" w:hAnsi="Calibri"/>
          <w:sz w:val="22"/>
          <w:szCs w:val="22"/>
        </w:rPr>
        <w:t xml:space="preserve">The frame reads founder mental-health prevalence as a strategic cost: it limits the duration over which the most productive founders can sustain frontier work, raises burnout-driven attrition in the cohort that produces strategically-significant technologies, and (combined with reform pressures from Frame B) creates political risk that founders may relocate to jurisdictions with different regulatory or cultural environments. Better founder support structures are read as strategic investment in the human-capital base of the venture system, not just as humanitarian concern.</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V — The three jurisdictions as a natural experiment</w:t>
      </w:r>
    </w:p>
    <w:p>
      <w:pPr>
        <w:spacing w:after="160" w:line="312"/>
        <w:jc w:val="both"/>
      </w:pPr>
      <w:r>
        <w:rPr>
          <w:rFonts w:ascii="Calibri" w:cs="Calibri" w:eastAsia="Calibri" w:hAnsi="Calibri"/>
          <w:sz w:val="22"/>
          <w:szCs w:val="22"/>
        </w:rPr>
        <w:t xml:space="preserve">VC is not a single thing. The US, UK, and EU each run a variant of the venture model under different conditions — different LP bases, different founder tax regimes, different exit market depths, different regulatory postures, different cultural forms. Treating the three as a natural experiment lets the reader see which features of the system are intrinsic to the venture model and which are choices about how to implement it.</w:t>
      </w:r>
    </w:p>
    <w:p>
      <w:pPr>
        <w:spacing w:after="160" w:line="312"/>
        <w:jc w:val="both"/>
      </w:pPr>
      <w:r>
        <w:rPr>
          <w:rFonts w:ascii="Calibri" w:cs="Calibri" w:eastAsia="Calibri" w:hAnsi="Calibri"/>
          <w:sz w:val="22"/>
          <w:szCs w:val="22"/>
        </w:rPr>
        <w:t xml:space="preserve">The natural-experiment framing matters because it changes which arguments survive. A defender of VC who points to specific welfare gains can be challenged: do those gains require the US implementation specifically, or do they appear in the UK and EU variants too? A critic of VC who points to specific costs can be challenged in the same direction: do those costs appear in all three variants, or only where the implementation has specific design features? Where a feature appears in all three jurisdictions, it is reasonable to treat it as intrinsic to the venture model. Where it varies, it is a local-design choice and can be redesigned without abandoning the model.</w:t>
      </w:r>
    </w:p>
    <w:p>
      <w:pPr>
        <w:pStyle w:val="Heading3"/>
        <w:spacing w:after="120" w:before="220"/>
      </w:pPr>
      <w:r>
        <w:rPr>
          <w:rFonts w:ascii="Calibri" w:cs="Calibri" w:eastAsia="Calibri" w:hAnsi="Calibri"/>
          <w:b/>
          <w:bCs/>
          <w:color w:val="1A2E45"/>
          <w:sz w:val="24"/>
          <w:szCs w:val="24"/>
        </w:rPr>
        <w:t xml:space="preserve">Scale and concentration: large gap between US and the others</w:t>
      </w:r>
    </w:p>
    <w:p>
      <w:pPr>
        <w:spacing w:after="160" w:line="312"/>
        <w:jc w:val="both"/>
      </w:pPr>
      <w:r>
        <w:rPr>
          <w:rFonts w:ascii="Calibri" w:cs="Calibri" w:eastAsia="Calibri" w:hAnsi="Calibri"/>
          <w:sz w:val="22"/>
          <w:szCs w:val="22"/>
        </w:rPr>
        <w:t xml:space="preserve">The US deployed approximately $209bn in 2024, with the first nine months of 2025 reaching $177bn (nearly double the same period in 2024 and approaching the 2021 peak). The UK deployed approximately £25bn in 2024, with growth of approximately 7.8% projected in 2025. The EU deployed approximately €57bn in 2024 across all stages, with approximately €66bn projected for 2025. The US deploys roughly 3.5x the EU and roughly 8x the UK in any given year. The European Investment Fund's analysis suggests the median European VC fund has tripled in size since 2016 (from $32m to $105m), but the typical European fund remains substantially smaller than its US counterpart. The State of European Tech 2025 report estimates a $375bn growth-stage funding gap between Europe and the US, persistent over the past decade.</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PitchBook, NVCA, Cambridge Associates, Invest Europe, BVCA data; the scale gap is consistent across years and sources.</w:t>
      </w:r>
    </w:p>
    <w:p>
      <w:pPr>
        <w:pStyle w:val="Heading3"/>
        <w:spacing w:after="120" w:before="220"/>
      </w:pPr>
      <w:r>
        <w:rPr>
          <w:rFonts w:ascii="Calibri" w:cs="Calibri" w:eastAsia="Calibri" w:hAnsi="Calibri"/>
          <w:b/>
          <w:bCs/>
          <w:color w:val="1A2E45"/>
          <w:sz w:val="24"/>
          <w:szCs w:val="24"/>
        </w:rPr>
        <w:t xml:space="preserve">LP base: endowment-heavy US, hybrid UK, state-anchored EU</w:t>
      </w:r>
    </w:p>
    <w:p>
      <w:pPr>
        <w:spacing w:after="160" w:line="312"/>
        <w:jc w:val="both"/>
      </w:pPr>
      <w:r>
        <w:rPr>
          <w:rFonts w:ascii="Calibri" w:cs="Calibri" w:eastAsia="Calibri" w:hAnsi="Calibri"/>
          <w:sz w:val="22"/>
          <w:szCs w:val="22"/>
        </w:rPr>
        <w:t xml:space="preserve">The US LP base is endowment-heavy. The Yale model — 50%+ allocation to alternatives at top university endowments — anchors most top-tier funds. Harvard's $57bn endowment runs 41% in private equity. Yale's $44bn endowment runs approximately 50%. Stanford, Princeton, MIT, and several dozen other large endowments operate similarly. CalPERS (the largest US public pension fund at $299bn) allocates approximately 9.6% to private equity (which includes VC). Family offices, sovereign wealth funds, and high-net-worth individuals fill out the rest. The state plays a minor role through SBA/SBIC programmes.</w:t>
      </w:r>
    </w:p>
    <w:p>
      <w:pPr>
        <w:spacing w:after="160" w:line="312"/>
        <w:jc w:val="both"/>
      </w:pPr>
      <w:r>
        <w:rPr>
          <w:rFonts w:ascii="Calibri" w:cs="Calibri" w:eastAsia="Calibri" w:hAnsi="Calibri"/>
          <w:sz w:val="22"/>
          <w:szCs w:val="22"/>
        </w:rPr>
        <w:t xml:space="preserve">The UK LP base is structurally hybrid. The British Business Bank operates as an explicit anchor LP through programmes like British Patient Capital, the Future Fund: Breakthrough, and the Enterprise Capital Funds programme. UK pensions are smaller VC allocators than US pensions; UK university endowments are a fraction of US endowment scale (Cambridge approximately £7bn, Oxford approximately £6bn including colleges, against Harvard's $57bn). EIS and SEIS schemes channel angel and HNW capital at scale through tax-incentivised structures, producing an early-stage capital base that is unique among the three jurisdictions in its scale and structure.</w:t>
      </w:r>
    </w:p>
    <w:p>
      <w:pPr>
        <w:spacing w:after="160" w:line="312"/>
        <w:jc w:val="both"/>
      </w:pPr>
      <w:r>
        <w:rPr>
          <w:rFonts w:ascii="Calibri" w:cs="Calibri" w:eastAsia="Calibri" w:hAnsi="Calibri"/>
          <w:sz w:val="22"/>
          <w:szCs w:val="22"/>
        </w:rPr>
        <w:t xml:space="preserve">The EU LP base is heavily state-anchored. The European Investment Fund (EIF) is an LP in approximately half of all European VC funds, effectively de-risking first-time fund formation across the bloc. National-level public LPs add depth: KfW Capital in Germany (€10bn Future Fund), Bpifrance in France (approximately 30% of seed and early-stage capital by deployment volume), Tesi in Finland, Enterprise Ireland (the largest seed investor in Europe by deal count), Saminvest in Sweden. The European Innovation Council (EIC) Fund makes direct equity investments alongside grants. Pension funds and family offices play smaller roles than in the US.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LP composition data documented across NVCA, BVCA, Invest Europe, EIF, and national-LP reports.</w:t>
      </w:r>
    </w:p>
    <w:p>
      <w:pPr>
        <w:pStyle w:val="Heading3"/>
        <w:spacing w:after="120" w:before="220"/>
      </w:pPr>
      <w:r>
        <w:rPr>
          <w:rFonts w:ascii="Calibri" w:cs="Calibri" w:eastAsia="Calibri" w:hAnsi="Calibri"/>
          <w:b/>
          <w:bCs/>
          <w:color w:val="1A2E45"/>
          <w:sz w:val="24"/>
          <w:szCs w:val="24"/>
        </w:rPr>
        <w:t xml:space="preserve">Founder tax regimes: substantial divergence, all changing in 2025-2026</w:t>
      </w:r>
    </w:p>
    <w:p>
      <w:pPr>
        <w:spacing w:after="160" w:line="312"/>
        <w:jc w:val="both"/>
      </w:pPr>
      <w:r>
        <w:rPr>
          <w:rFonts w:ascii="Calibri" w:cs="Calibri" w:eastAsia="Calibri" w:hAnsi="Calibri"/>
          <w:sz w:val="22"/>
          <w:szCs w:val="22"/>
        </w:rPr>
        <w:t xml:space="preserve">The US founder tax regime improved substantially in July 2025 with the One Big Beautiful Bill Act. The QSBS exclusion under IRC §1202 was expanded: per-issuer per-taxpayer cap raised from $10m to $15m (or 10x basis), inflation-indexed from 2027; gross asset cap raised from $50m to $75m; tiered holding period replaced binary 5-year requirement (50% exclusion at 3 years, 75% at 4 years, 100% at 5 years). For a US founder of a venture-backed C-corporation, this is a meaningful improvement: a $20m gain at the 4-year mark now produces approximately $3.6m more in after-tax proceeds than under the pre-OBBBA regime. State-level conformity is uneven — California, Alabama, Mississippi, New Jersey (until 2026), and Pennsylvania do not conform; no-state-income-tax states (Texas, Florida, etc.) produce fully tax-free exits on the gain.</w:t>
      </w:r>
    </w:p>
    <w:p>
      <w:pPr>
        <w:spacing w:after="160" w:line="312"/>
        <w:jc w:val="both"/>
      </w:pPr>
      <w:r>
        <w:rPr>
          <w:rFonts w:ascii="Calibri" w:cs="Calibri" w:eastAsia="Calibri" w:hAnsi="Calibri"/>
          <w:sz w:val="22"/>
          <w:szCs w:val="22"/>
        </w:rPr>
        <w:t xml:space="preserve">The UK founder tax regime tightened substantially across 2024-2026. Business Asset Disposal Relief (BADR) caps lifetime gains at £1m at reduced CGT rates (10% pre-April 2025, 14% April 2025-March 2026, 18% from April 2026). Above the cap, founder gains are taxed at the standard CGT rate of 24% (top rate). Business Property Relief (BPR) is capped from April 2026 at £2.5m per person, 50% relief above (effective 20% IHT). Carried interest reform from 2026 treats carry as ordinary income subject to marginal rates with a partial reduced rate of 34.1% for qualifying carry. Set against the tightening: EIS, SEIS, and EMI remain in place and remain among the most generous early-stage investor and employee equity incentives in the world.</w:t>
      </w:r>
    </w:p>
    <w:p>
      <w:pPr>
        <w:spacing w:after="160" w:line="312"/>
        <w:jc w:val="both"/>
      </w:pPr>
      <w:r>
        <w:rPr>
          <w:rFonts w:ascii="Calibri" w:cs="Calibri" w:eastAsia="Calibri" w:hAnsi="Calibri"/>
          <w:sz w:val="22"/>
          <w:szCs w:val="22"/>
        </w:rPr>
        <w:t xml:space="preserve">The EU founder tax regime varies by member state. France: PFU 30% (12.8% IT + 17.2% social), with favourable BSPCE for employee stock options. Germany: substantial-shareholding gains taxed at ~28.5% effective via Teileinkunfteverfahren; ZuFinG (December 2023) and Standortfordergesetz (September 2025) reformed employee equity treatment. Netherlands: box-2 progressive rates 24.5-31% (effective 2024-2025); 2023 ESOP reform addressed dry-income problem. Sweden: standard CGT 30%; KSOP available but less favourable than UK EMI or French BSPCE. Ireland: standard CGT 33% with Entrepreneur Relief at 10% on first €1m of qualifying gains; KEEP scheme for employees provides CGT-rate treatment. Estonia: undistributed corporate profits not taxed; tax only on distribution at 22%. Most EU member states tax founder exits at higher marginal rates than the US (post-QSBS) but at rates roughly comparable to or sometimes lower than the UK (post-BADR-tightening).</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Tax regimes documented across HMRC, IRS, and national tax-authority guidance; recent changes (OBBBA 2025, UK Finance Act 2026, ZuFinG, Standortfordergesetz) are recent and primary-source documented.</w:t>
      </w:r>
    </w:p>
    <w:p>
      <w:pPr>
        <w:pStyle w:val="Heading3"/>
        <w:spacing w:after="120" w:before="220"/>
      </w:pPr>
      <w:r>
        <w:rPr>
          <w:rFonts w:ascii="Calibri" w:cs="Calibri" w:eastAsia="Calibri" w:hAnsi="Calibri"/>
          <w:b/>
          <w:bCs/>
          <w:color w:val="1A2E45"/>
          <w:sz w:val="24"/>
          <w:szCs w:val="24"/>
        </w:rPr>
        <w:t xml:space="preserve">Exit markets: deepest US, struggling UK AIM, fragmented EU</w:t>
      </w:r>
    </w:p>
    <w:p>
      <w:pPr>
        <w:spacing w:after="160" w:line="312"/>
        <w:jc w:val="both"/>
      </w:pPr>
      <w:r>
        <w:rPr>
          <w:rFonts w:ascii="Calibri" w:cs="Calibri" w:eastAsia="Calibri" w:hAnsi="Calibri"/>
          <w:sz w:val="22"/>
          <w:szCs w:val="22"/>
        </w:rPr>
        <w:t xml:space="preserve">The US has, by a wide margin, the deepest exit market: NASDAQ and NYSE between them list the bulk of large-cap technology companies, and US strategic acquirers (Google, Microsoft, Apple, Meta, Amazon, Salesforce, Cisco, Oracle, etc.) are the dominant M&amp;A buyers globally. A US-incorporated venture-backed company has the broadest set of exit options at the highest valuation multiples. The 2024-2025 IPO market has been mixed but improving.</w:t>
      </w:r>
    </w:p>
    <w:p>
      <w:pPr>
        <w:spacing w:after="160" w:line="312"/>
        <w:jc w:val="both"/>
      </w:pPr>
      <w:r>
        <w:rPr>
          <w:rFonts w:ascii="Calibri" w:cs="Calibri" w:eastAsia="Calibri" w:hAnsi="Calibri"/>
          <w:sz w:val="22"/>
          <w:szCs w:val="22"/>
        </w:rPr>
        <w:t xml:space="preserve">The UK has the London Stock Exchange Main Market and AIM. AIM has historically been the venue for smaller venture-stage IPOs but has struggled in 2023-2025: company delistings have outpaced new listings, and the AIM-specific tax treatment under the BPR reform (50% relief from the first pound, no allowance) has pushed many AIM investors to reduce exposure. Most UK venture winners that do reach IPO scale list on NASDAQ rather than London — the valuation multiples and analyst coverage available on US exchanges typically exceed UK alternatives by 30-50% or more for comparable companies.</w:t>
      </w:r>
    </w:p>
    <w:p>
      <w:pPr>
        <w:spacing w:after="160" w:line="312"/>
        <w:jc w:val="both"/>
      </w:pPr>
      <w:r>
        <w:rPr>
          <w:rFonts w:ascii="Calibri" w:cs="Calibri" w:eastAsia="Calibri" w:hAnsi="Calibri"/>
          <w:sz w:val="22"/>
          <w:szCs w:val="22"/>
        </w:rPr>
        <w:t xml:space="preserve">The EU has Euronext (covering Paris, Amsterdam, Brussels, Lisbon, Dublin, Oslo, Milan), Deutsche Borse (Frankfurt), Nasdaq Stockholm, BME (Madrid), and several smaller exchanges. The Listing Act (regulation 2024/2809), in force since December 2024 with phased implementation through 2026, aims to reduce listing burden and make EU exchanges more competitive for growth companies. The Capital Markets Union (CMU) project is the longer-horizon attempt to deepen liquidity across the bloc. EU venture winners increasingly cross-list or list primarily on NASDAQ, with the local exchange as a secondary venue. M&amp;A is the dominant exit form across all three jurisdictions — typically 80-90% of venture exits across decades — but US strategics dominate the buyer universe globally.</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Exit data documented across PitchBook, Dealogic, Refinitiv, EY Global IPO Trends, World Federation of Exchanges; the US-Europe valuation differential is consistent across sectors and years.</w:t>
      </w:r>
    </w:p>
    <w:p>
      <w:pPr>
        <w:pStyle w:val="Heading3"/>
        <w:spacing w:after="120" w:before="220"/>
      </w:pPr>
      <w:r>
        <w:rPr>
          <w:rFonts w:ascii="Calibri" w:cs="Calibri" w:eastAsia="Calibri" w:hAnsi="Calibri"/>
          <w:b/>
          <w:bCs/>
          <w:color w:val="1A2E45"/>
          <w:sz w:val="24"/>
          <w:szCs w:val="24"/>
        </w:rPr>
        <w:t xml:space="preserve">Sector tilts: US consumer-software-heavy, UK fintech-anchored, EU deep-tech-tilted</w:t>
      </w:r>
    </w:p>
    <w:p>
      <w:pPr>
        <w:spacing w:after="160" w:line="312"/>
        <w:jc w:val="both"/>
      </w:pPr>
      <w:r>
        <w:rPr>
          <w:rFonts w:ascii="Calibri" w:cs="Calibri" w:eastAsia="Calibri" w:hAnsi="Calibri"/>
          <w:sz w:val="22"/>
          <w:szCs w:val="22"/>
        </w:rPr>
        <w:t xml:space="preserve">US VC's H1 2025 sector mix was IT 48%, healthcare 26%, industrials 11%. The IT share is dominated by consumer software, B2B SaaS, advertising-driven platforms, and (recently) generative AI. Healthcare's share rose from 21% in 2018 to 32% by some measures (Carta). DeepTech rose from 8.5% in 2022 to 12.2% in 2025 of new fund formation. Climate tech investment declined approximately $23bn from 2023 to 2024.</w:t>
      </w:r>
    </w:p>
    <w:p>
      <w:pPr>
        <w:spacing w:after="160" w:line="312"/>
        <w:jc w:val="both"/>
      </w:pPr>
      <w:r>
        <w:rPr>
          <w:rFonts w:ascii="Calibri" w:cs="Calibri" w:eastAsia="Calibri" w:hAnsi="Calibri"/>
          <w:sz w:val="22"/>
          <w:szCs w:val="22"/>
        </w:rPr>
        <w:t xml:space="preserve">UK VC's sector tilt is fintech-heavy (London's financial-services depth and the FCA regulatory sandbox have produced disproportionate fintech founder density: Wise, Revolut, Monzo, Starling, Octopus Energy on the energy-tech side). Strong deep-tech, biotech, and AI representation through the Cambridge and Oxford clusters (DeepMind, Wayve, BenevolentAI, Quantinuum).</w:t>
      </w:r>
    </w:p>
    <w:p>
      <w:pPr>
        <w:spacing w:after="160" w:line="312"/>
        <w:jc w:val="both"/>
      </w:pPr>
      <w:r>
        <w:rPr>
          <w:rFonts w:ascii="Calibri" w:cs="Calibri" w:eastAsia="Calibri" w:hAnsi="Calibri"/>
          <w:sz w:val="22"/>
          <w:szCs w:val="22"/>
        </w:rPr>
        <w:t xml:space="preserve">EU VC's sector tilt is toward deep tech and biotech relative to consumer software, reflecting both the strength of European university research bases (ETH Zurich, EPFL, Cambridge, Oxford, Imperial, TU Munich, KTH, ETH spinouts dominate certain frontier categories) and the structural under-supply of consumer-app capital within the bloc. AI accounted for a record 39.1% of capital raised in Europe in 2025 (PitchBook), with French champions (Mistral AI), German players, and pan-European deep-tech funds driving the share. Climate tech's share has fluctuated, with Northvolt's 2024-2025 collapse reshaping clean-tech sentiment but Stegra and other players continuing.</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Sector data documented across PitchBook, Cambridge Associates, Carta, NVCA, BVCA, Invest Europe, State of European Tech reports.</w:t>
      </w:r>
    </w:p>
    <w:p>
      <w:pPr>
        <w:pStyle w:val="Heading3"/>
        <w:spacing w:after="120" w:before="220"/>
      </w:pPr>
      <w:r>
        <w:rPr>
          <w:rFonts w:ascii="Calibri" w:cs="Calibri" w:eastAsia="Calibri" w:hAnsi="Calibri"/>
          <w:b/>
          <w:bCs/>
          <w:color w:val="1A2E45"/>
          <w:sz w:val="24"/>
          <w:szCs w:val="24"/>
        </w:rPr>
        <w:t xml:space="preserve">What the natural experiment shows: which features are intrinsic, which are local</w:t>
      </w:r>
    </w:p>
    <w:p>
      <w:pPr>
        <w:spacing w:after="160" w:line="312"/>
        <w:jc w:val="both"/>
      </w:pPr>
      <w:r>
        <w:rPr>
          <w:rFonts w:ascii="Calibri" w:cs="Calibri" w:eastAsia="Calibri" w:hAnsi="Calibri"/>
          <w:sz w:val="22"/>
          <w:szCs w:val="22"/>
        </w:rPr>
        <w:t xml:space="preserve">The variation across the three jurisdictions makes several features visible as either intrinsic to the venture model or local-design choices:</w:t>
      </w:r>
    </w:p>
    <w:p>
      <w:pPr>
        <w:spacing w:after="160" w:line="312"/>
        <w:jc w:val="both"/>
      </w:pPr>
      <w:r>
        <w:rPr>
          <w:rFonts w:ascii="Calibri" w:cs="Calibri" w:eastAsia="Calibri" w:hAnsi="Calibri"/>
          <w:sz w:val="22"/>
          <w:szCs w:val="22"/>
        </w:rPr>
        <w:t xml:space="preserve">Power-law return distribution (intrinsic). All three jurisdictions show the same power-law structure: most companies fail, a small number succeed at extreme scale, and the top-decile funds capture the bulk of asset-class returns. This is intrinsic to the venture model, not a feature of any particular implementation.</w:t>
      </w:r>
    </w:p>
    <w:p>
      <w:pPr>
        <w:spacing w:after="160" w:line="312"/>
        <w:jc w:val="both"/>
      </w:pPr>
      <w:r>
        <w:rPr>
          <w:rFonts w:ascii="Calibri" w:cs="Calibri" w:eastAsia="Calibri" w:hAnsi="Calibri"/>
          <w:sz w:val="22"/>
          <w:szCs w:val="22"/>
        </w:rPr>
        <w:t xml:space="preserve">Founder mental-health pattern (intrinsic). The Sifted surveys covering UK and EU founders, the Cerevity data on European founders, and the UCSF Freeman data on US founders all show the same qualitative pattern: founders score worse than general-population baselines on multiple mental-health dimensions. The pattern appears across all three jurisdictions; this is intrinsic, not local.</w:t>
      </w:r>
    </w:p>
    <w:p>
      <w:pPr>
        <w:spacing w:after="160" w:line="312"/>
        <w:jc w:val="both"/>
      </w:pPr>
      <w:r>
        <w:rPr>
          <w:rFonts w:ascii="Calibri" w:cs="Calibri" w:eastAsia="Calibri" w:hAnsi="Calibri"/>
          <w:sz w:val="22"/>
          <w:szCs w:val="22"/>
        </w:rPr>
        <w:t xml:space="preserve">Demographic skew of funded founders (intrinsic but with magnitude variation). The funded population is whiter, more male, and more elite-credentialled than the applicant population in all three jurisdictions. Magnitude varies (US shows the sharpest under-representation of Black founders; UK shows the sharpest gender skew in mature-stage capital; EU varies by member state). The pattern is intrinsic; the magnitude is partly local.</w:t>
      </w:r>
    </w:p>
    <w:p>
      <w:pPr>
        <w:spacing w:after="160" w:line="312"/>
        <w:jc w:val="both"/>
      </w:pPr>
      <w:r>
        <w:rPr>
          <w:rFonts w:ascii="Calibri" w:cs="Calibri" w:eastAsia="Calibri" w:hAnsi="Calibri"/>
          <w:sz w:val="22"/>
          <w:szCs w:val="22"/>
        </w:rPr>
        <w:t xml:space="preserve">Founder economic outcome distribution (largely intrinsic, with policy modulation). The 9% IPO / 34% died / 31% other-or-still-operating split from Hall-Woodward's US data is qualitatively replicated in UK Beauhurst data and EU Atomico data. The shape is intrinsic. The post-tax outcome differs across jurisdictions because of the tax-regime variation — a $20m exit produces different after-tax founder wealth in the US (post-OBBBA), UK (post-BADR-tightening), and EU member states. This is the policy-modulable layer above the intrinsic distribution.</w:t>
      </w:r>
    </w:p>
    <w:p>
      <w:pPr>
        <w:spacing w:after="160" w:line="312"/>
        <w:jc w:val="both"/>
      </w:pPr>
      <w:r>
        <w:rPr>
          <w:rFonts w:ascii="Calibri" w:cs="Calibri" w:eastAsia="Calibri" w:hAnsi="Calibri"/>
          <w:sz w:val="22"/>
          <w:szCs w:val="22"/>
        </w:rPr>
        <w:t xml:space="preserve">Wealth concentration in LP base (significantly local). The US endowment-heavy LP structure produces sharper concentration of returns at wealthy institutions than the EU state-anchored model. The UK hybrid sits between. This is a substantially local choice: redirecting more of the LP base toward state pension funds, sovereign wealth funds, or public-sector institutions changes the distributional profile without changing aggregate returns much.</w:t>
      </w:r>
    </w:p>
    <w:p>
      <w:pPr>
        <w:spacing w:after="160" w:line="312"/>
        <w:jc w:val="both"/>
      </w:pPr>
      <w:r>
        <w:rPr>
          <w:rFonts w:ascii="Calibri" w:cs="Calibri" w:eastAsia="Calibri" w:hAnsi="Calibri"/>
          <w:sz w:val="22"/>
          <w:szCs w:val="22"/>
        </w:rPr>
        <w:t xml:space="preserve">Wealth concentration in carried interest (largely local). The US 23.8% carried interest tax rate, the UK's 34.1% effective rate from 2026, and the variable EU member-state rates produce different post-tax GP wealth from carry. The differential is policy-driven; reducing the gap between carried interest tax and ordinary income tax narrows the wealth concentration without changing the aggregate output of the system. Reform attempts in the US in 2025 failed; the UK reform is now in effect.</w:t>
      </w:r>
    </w:p>
    <w:p>
      <w:pPr>
        <w:spacing w:after="160" w:line="312"/>
        <w:jc w:val="both"/>
      </w:pPr>
      <w:r>
        <w:rPr>
          <w:rFonts w:ascii="Calibri" w:cs="Calibri" w:eastAsia="Calibri" w:hAnsi="Calibri"/>
          <w:sz w:val="22"/>
          <w:szCs w:val="22"/>
        </w:rPr>
        <w:t xml:space="preserve">Sector tilt toward consumer software vs deep tech (substantially local). The US's consumer-software dominance reflects its specific LP base, exit market depth, and historical return patterns. The EU's deep-tech tilt reflects the EIF's strategic preferences, the academic research base, and a different return-tolerance among public LPs. This is substantially a feature of LP composition rather than of the venture model itself — a US LP base that looked more like the EU LP base would produce a sector mix tilted similarly toward deep tech.</w:t>
      </w:r>
    </w:p>
    <w:p>
      <w:pPr>
        <w:spacing w:after="160" w:line="312"/>
        <w:jc w:val="both"/>
      </w:pPr>
      <w:r>
        <w:rPr>
          <w:rFonts w:ascii="Calibri" w:cs="Calibri" w:eastAsia="Calibri" w:hAnsi="Calibri"/>
          <w:sz w:val="22"/>
          <w:szCs w:val="22"/>
        </w:rPr>
        <w:t xml:space="preserve">Externalities of consumer-tech products (mostly local consequences of the sector tilt). The attention-economy effects, civic-discourse degradation, and platform-power concentration that Frame B (welfare economics) names are predominantly downstream of US consumer-software dominance. The EU's deep-tech tilt produces fewer externalities of this specific type — ASML, Mistral AI, BioNTech, and Adyen are not engagement-optimised products in the same way Facebook, TikTok, or Snapchat are. This is a local consequence of the sector mix; redirecting US capital toward deep tech (via different LP composition or different tax incentives) would reduce the externalities without changing the underlying venture model.</w:t>
      </w:r>
    </w:p>
    <w:p>
      <w:pPr>
        <w:spacing w:after="160" w:line="312"/>
        <w:jc w:val="both"/>
      </w:pPr>
      <w:r>
        <w:rPr>
          <w:rFonts w:ascii="Calibri" w:cs="Calibri" w:eastAsia="Calibri" w:hAnsi="Calibri"/>
          <w:sz w:val="22"/>
          <w:szCs w:val="22"/>
        </w:rPr>
        <w:t xml:space="preserve">What the experiment cannot tell us. The natural-experiment framing has limits. The three jurisdictions are not independent observations — capital flows across the Atlantic, founders relocate, US LPs invest in European funds, European founders re-incorporate as Delaware C-corps. The data is therefore correlated, and any clean inference from "this feature varies across jurisdictions" to "this feature is causally a local-design choice" needs to account for the cross-jurisdictional capital and talent flow. The experiment also runs only at the level of how the three implementations differ; it cannot tell us how a fundamentally different model (DARPA-style state R&amp;D, philanthropic mission capital, cooperative steward-ownership) would compare. Part VI walks through those wider counterfactuals.</w:t>
      </w:r>
    </w:p>
    <w:p>
      <w:pPr>
        <w:spacing w:after="80" w:line="260"/>
      </w:pPr>
      <w:r>
        <w:rPr>
          <w:rFonts w:ascii="Calibri" w:cs="Calibri" w:eastAsia="Calibri" w:hAnsi="Calibri"/>
          <w:b/>
          <w:bCs/>
          <w:color w:val="6B5B8A"/>
          <w:sz w:val="18"/>
          <w:szCs w:val="18"/>
        </w:rPr>
        <w:t xml:space="preserve">[INTERPRETIVE]  </w:t>
      </w:r>
      <w:r>
        <w:rPr>
          <w:rFonts w:ascii="Calibri" w:cs="Calibri" w:eastAsia="Calibri" w:hAnsi="Calibri"/>
          <w:i/>
          <w:iCs/>
          <w:color w:val="555555"/>
          <w:sz w:val="18"/>
          <w:szCs w:val="18"/>
        </w:rPr>
        <w:t xml:space="preserve">The natural-experiment framing is the document's analytical move, not a finding from a single source. The underlying empirical patterns each have strong documentation; the synthesis is structural reasoning.</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VI — Counterfactuals: what else could fund early-stage technical work</w:t>
      </w:r>
    </w:p>
    <w:p>
      <w:pPr>
        <w:spacing w:after="160" w:line="312"/>
        <w:jc w:val="both"/>
      </w:pPr>
      <w:r>
        <w:rPr>
          <w:rFonts w:ascii="Calibri" w:cs="Calibri" w:eastAsia="Calibri" w:hAnsi="Calibri"/>
          <w:sz w:val="22"/>
          <w:szCs w:val="22"/>
        </w:rPr>
        <w:t xml:space="preserve">Any evaluation of VC depends on "compared to what." None of the alternatives below is a clean substitute for VC — each operates at a different scale and on different problems — but together they widen the counterfactual space.</w:t>
      </w:r>
    </w:p>
    <w:p>
      <w:pPr>
        <w:pStyle w:val="Heading3"/>
        <w:spacing w:after="120" w:before="220"/>
      </w:pPr>
      <w:r>
        <w:rPr>
          <w:rFonts w:ascii="Calibri" w:cs="Calibri" w:eastAsia="Calibri" w:hAnsi="Calibri"/>
          <w:b/>
          <w:bCs/>
          <w:color w:val="1A2E45"/>
          <w:sz w:val="24"/>
          <w:szCs w:val="24"/>
        </w:rPr>
        <w:t xml:space="preserve">Government-led R&amp;D (DARPA-style)</w:t>
      </w:r>
    </w:p>
    <w:p>
      <w:pPr>
        <w:spacing w:after="160" w:line="312"/>
        <w:jc w:val="both"/>
      </w:pPr>
      <w:r>
        <w:rPr>
          <w:rFonts w:ascii="Calibri" w:cs="Calibri" w:eastAsia="Calibri" w:hAnsi="Calibri"/>
          <w:sz w:val="22"/>
          <w:szCs w:val="22"/>
        </w:rPr>
        <w:t xml:space="preserve">DARPA, ARPA-E, ARPA-H, NIH, and NSF fund speculative technical work on long horizons with mission-driven goals rather than financial returns. DARPA is widely credited with foundational work on the internet, GPS, autonomous vehicles, voice recognition, and several semiconductor advances. What it does well: long-horizon basic research, dual-use technology, problems with no near-term commercial pull. What it does less well: rapid commercialisation, consumer applications, organisational forms beyond research labs. The DARPA model and the VC model are largely complementary rather than substitutes.</w:t>
      </w:r>
    </w:p>
    <w:p>
      <w:pPr>
        <w:spacing w:after="80" w:line="260"/>
      </w:pPr>
      <w:r>
        <w:rPr>
          <w:rFonts w:ascii="Calibri" w:cs="Calibri" w:eastAsia="Calibri" w:hAnsi="Calibri"/>
          <w:b/>
          <w:bCs/>
          <w:color w:val="2E5984"/>
          <w:sz w:val="18"/>
          <w:szCs w:val="18"/>
        </w:rPr>
        <w:t xml:space="preserve">[STRONG]  </w:t>
      </w:r>
      <w:r>
        <w:rPr>
          <w:rFonts w:ascii="Calibri" w:cs="Calibri" w:eastAsia="Calibri" w:hAnsi="Calibri"/>
          <w:i/>
          <w:iCs/>
          <w:color w:val="555555"/>
          <w:sz w:val="18"/>
          <w:szCs w:val="18"/>
        </w:rPr>
        <w:t xml:space="preserve">Programme outputs documented; counterfactual analysis (Mazzucato and others) substantial.</w:t>
      </w:r>
    </w:p>
    <w:p>
      <w:pPr>
        <w:pStyle w:val="Heading3"/>
        <w:spacing w:after="120" w:before="220"/>
      </w:pPr>
      <w:r>
        <w:rPr>
          <w:rFonts w:ascii="Calibri" w:cs="Calibri" w:eastAsia="Calibri" w:hAnsi="Calibri"/>
          <w:b/>
          <w:bCs/>
          <w:color w:val="1A2E45"/>
          <w:sz w:val="24"/>
          <w:szCs w:val="24"/>
        </w:rPr>
        <w:t xml:space="preserve">Mission-driven philanthropic capital</w:t>
      </w:r>
    </w:p>
    <w:p>
      <w:pPr>
        <w:spacing w:after="160" w:line="312"/>
        <w:jc w:val="both"/>
      </w:pPr>
      <w:r>
        <w:rPr>
          <w:rFonts w:ascii="Calibri" w:cs="Calibri" w:eastAsia="Calibri" w:hAnsi="Calibri"/>
          <w:sz w:val="22"/>
          <w:szCs w:val="22"/>
        </w:rPr>
        <w:t xml:space="preserve">Wellcome Leap, the Bill and Melinda Gates Foundation's life-sciences work, the Howard Hughes Medical Institute, and similar bodies fund work too long-horizon or too socially-targeted for VC. Returns measured in mission outcomes. Scale meaningful (Gates Foundation deployed over $70bn across its lifetime) but smaller than aggregate VC.</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Programme outputs documented; counterfactual analysis hard.</w:t>
      </w:r>
    </w:p>
    <w:p>
      <w:pPr>
        <w:pStyle w:val="Heading3"/>
        <w:spacing w:after="120" w:before="220"/>
      </w:pPr>
      <w:r>
        <w:rPr>
          <w:rFonts w:ascii="Calibri" w:cs="Calibri" w:eastAsia="Calibri" w:hAnsi="Calibri"/>
          <w:b/>
          <w:bCs/>
          <w:color w:val="1A2E45"/>
          <w:sz w:val="24"/>
          <w:szCs w:val="24"/>
        </w:rPr>
        <w:t xml:space="preserve">Cooperative and mission-driven equity capital</w:t>
      </w:r>
    </w:p>
    <w:p>
      <w:pPr>
        <w:spacing w:after="160" w:line="312"/>
        <w:jc w:val="both"/>
      </w:pPr>
      <w:r>
        <w:rPr>
          <w:rFonts w:ascii="Calibri" w:cs="Calibri" w:eastAsia="Calibri" w:hAnsi="Calibri"/>
          <w:sz w:val="22"/>
          <w:szCs w:val="22"/>
        </w:rPr>
        <w:t xml:space="preserve">Patient capital structures, B-corp / steward-ownership models, cooperative ownership in tech, and revenue-share rather than equity instruments are emerging but small.</w:t>
      </w:r>
    </w:p>
    <w:p>
      <w:pPr>
        <w:spacing w:after="80" w:line="260"/>
      </w:pPr>
      <w:r>
        <w:rPr>
          <w:rFonts w:ascii="Calibri" w:cs="Calibri" w:eastAsia="Calibri" w:hAnsi="Calibri"/>
          <w:b/>
          <w:bCs/>
          <w:color w:val="996644"/>
          <w:sz w:val="18"/>
          <w:szCs w:val="18"/>
        </w:rPr>
        <w:t xml:space="preserve">[WEAK]  </w:t>
      </w:r>
      <w:r>
        <w:rPr>
          <w:rFonts w:ascii="Calibri" w:cs="Calibri" w:eastAsia="Calibri" w:hAnsi="Calibri"/>
          <w:i/>
          <w:iCs/>
          <w:color w:val="555555"/>
          <w:sz w:val="18"/>
          <w:szCs w:val="18"/>
        </w:rPr>
        <w:t xml:space="preserve">Models too new and small for population-scale return data.</w:t>
      </w:r>
    </w:p>
    <w:p>
      <w:pPr>
        <w:pStyle w:val="Heading3"/>
        <w:spacing w:after="120" w:before="220"/>
      </w:pPr>
      <w:r>
        <w:rPr>
          <w:rFonts w:ascii="Calibri" w:cs="Calibri" w:eastAsia="Calibri" w:hAnsi="Calibri"/>
          <w:b/>
          <w:bCs/>
          <w:color w:val="1A2E45"/>
          <w:sz w:val="24"/>
          <w:szCs w:val="24"/>
        </w:rPr>
        <w:t xml:space="preserve">Family offices and traditional private capital</w:t>
      </w:r>
    </w:p>
    <w:p>
      <w:pPr>
        <w:spacing w:after="160" w:line="312"/>
        <w:jc w:val="both"/>
      </w:pPr>
      <w:r>
        <w:rPr>
          <w:rFonts w:ascii="Calibri" w:cs="Calibri" w:eastAsia="Calibri" w:hAnsi="Calibri"/>
          <w:sz w:val="22"/>
          <w:szCs w:val="22"/>
        </w:rPr>
        <w:t xml:space="preserve">Long-term private ownership through family offices has produced some of the most enduring industrial firms (Mars, Cargill, Bosch). The model trades return concentration for time horizon: 50-100 year planning windows are possible.</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Long-run business performance documented.</w:t>
      </w:r>
    </w:p>
    <w:p>
      <w:pPr>
        <w:pStyle w:val="Heading3"/>
        <w:spacing w:after="120" w:before="220"/>
      </w:pPr>
      <w:r>
        <w:rPr>
          <w:rFonts w:ascii="Calibri" w:cs="Calibri" w:eastAsia="Calibri" w:hAnsi="Calibri"/>
          <w:b/>
          <w:bCs/>
          <w:color w:val="1A2E45"/>
          <w:sz w:val="24"/>
          <w:szCs w:val="24"/>
        </w:rPr>
        <w:t xml:space="preserve">State-aligned strategic capital</w:t>
      </w:r>
    </w:p>
    <w:p>
      <w:pPr>
        <w:spacing w:after="160" w:line="312"/>
        <w:jc w:val="both"/>
      </w:pPr>
      <w:r>
        <w:rPr>
          <w:rFonts w:ascii="Calibri" w:cs="Calibri" w:eastAsia="Calibri" w:hAnsi="Calibri"/>
          <w:sz w:val="22"/>
          <w:szCs w:val="22"/>
        </w:rPr>
        <w:t xml:space="preserve">Sovereign wealth funds, national champion programmes, and state-directed industrial policy deploy capital toward state-defined strategic ends. Track record is mixed.</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Track records vary by country.</w:t>
      </w:r>
    </w:p>
    <w:p>
      <w:pPr>
        <w:pStyle w:val="Heading3"/>
        <w:spacing w:after="120" w:before="220"/>
      </w:pPr>
      <w:r>
        <w:rPr>
          <w:rFonts w:ascii="Calibri" w:cs="Calibri" w:eastAsia="Calibri" w:hAnsi="Calibri"/>
          <w:b/>
          <w:bCs/>
          <w:color w:val="1A2E45"/>
          <w:sz w:val="24"/>
          <w:szCs w:val="24"/>
        </w:rPr>
        <w:t xml:space="preserve">Hybrid models</w:t>
      </w:r>
    </w:p>
    <w:p>
      <w:pPr>
        <w:spacing w:after="160" w:line="312"/>
        <w:jc w:val="both"/>
      </w:pPr>
      <w:r>
        <w:rPr>
          <w:rFonts w:ascii="Calibri" w:cs="Calibri" w:eastAsia="Calibri" w:hAnsi="Calibri"/>
          <w:sz w:val="22"/>
          <w:szCs w:val="22"/>
        </w:rPr>
        <w:t xml:space="preserve">Several institutional forms blend elements: SBIR grants leading into VC investment, the European Innovation Council fund, Israel's Yozma model, Singapore's TIH and similar.</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Case studies well-documented; scaling is open.</w:t>
      </w:r>
    </w:p>
    <w:p>
      <w:pPr>
        <w:pStyle w:val="Heading3"/>
        <w:spacing w:after="120" w:before="220"/>
      </w:pPr>
      <w:r>
        <w:rPr>
          <w:rFonts w:ascii="Calibri" w:cs="Calibri" w:eastAsia="Calibri" w:hAnsi="Calibri"/>
          <w:b/>
          <w:bCs/>
          <w:color w:val="1A2E45"/>
          <w:sz w:val="24"/>
          <w:szCs w:val="24"/>
        </w:rPr>
        <w:t xml:space="preserve">What the counterfactual lens shows</w:t>
      </w:r>
    </w:p>
    <w:p>
      <w:pPr>
        <w:spacing w:after="160" w:line="312"/>
        <w:jc w:val="both"/>
      </w:pPr>
      <w:r>
        <w:rPr>
          <w:rFonts w:ascii="Calibri" w:cs="Calibri" w:eastAsia="Calibri" w:hAnsi="Calibri"/>
          <w:sz w:val="22"/>
          <w:szCs w:val="22"/>
        </w:rPr>
        <w:t xml:space="preserve">VC is one institutional form among several, each suited to different parts of the technology and enterprise development landscape. The relevant comparison is not VC versus a single alternative; it is VC versus a portfolio of alternatives operating at different stages and on different problems.</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VII — Perspectives the literature does not capture well</w:t>
      </w:r>
    </w:p>
    <w:p>
      <w:pPr>
        <w:spacing w:after="160" w:line="312"/>
        <w:jc w:val="both"/>
      </w:pPr>
      <w:r>
        <w:rPr>
          <w:rFonts w:ascii="Calibri" w:cs="Calibri" w:eastAsia="Calibri" w:hAnsi="Calibri"/>
          <w:sz w:val="22"/>
          <w:szCs w:val="22"/>
        </w:rPr>
        <w:t xml:space="preserve">The available data draws disproportionately from investors, researchers, and successful founders. Several perspectives relevant to evaluating venture capital are systematically under-represented. Naming them does not fix the gap, but lets the reader weight the rest of the document accordingly.</w:t>
      </w:r>
    </w:p>
    <w:p>
      <w:pPr>
        <w:pStyle w:val="Heading3"/>
        <w:spacing w:after="120" w:before="220"/>
      </w:pPr>
      <w:r>
        <w:rPr>
          <w:rFonts w:ascii="Calibri" w:cs="Calibri" w:eastAsia="Calibri" w:hAnsi="Calibri"/>
          <w:b/>
          <w:bCs/>
          <w:color w:val="1A2E45"/>
          <w:sz w:val="24"/>
          <w:szCs w:val="24"/>
        </w:rPr>
        <w:t xml:space="preserve">Employees in failed startups</w:t>
      </w:r>
    </w:p>
    <w:p>
      <w:pPr>
        <w:spacing w:after="160" w:line="312"/>
        <w:jc w:val="both"/>
      </w:pPr>
      <w:r>
        <w:rPr>
          <w:rFonts w:ascii="Calibri" w:cs="Calibri" w:eastAsia="Calibri" w:hAnsi="Calibri"/>
          <w:sz w:val="22"/>
          <w:szCs w:val="22"/>
        </w:rPr>
        <w:t xml:space="preserve">Most startups fail. Most failures involve employees who took below-market cash compensation in exchange for equity that turned out to be worthless. The aggregate welfare cost of these years of compensation differential is poorly measured longitudinally.</w:t>
      </w:r>
    </w:p>
    <w:p>
      <w:pPr>
        <w:spacing w:after="80" w:line="260"/>
      </w:pPr>
      <w:r>
        <w:rPr>
          <w:rFonts w:ascii="Calibri" w:cs="Calibri" w:eastAsia="Calibri" w:hAnsi="Calibri"/>
          <w:b/>
          <w:bCs/>
          <w:color w:val="996644"/>
          <w:sz w:val="18"/>
          <w:szCs w:val="18"/>
        </w:rPr>
        <w:t xml:space="preserve">[WEAK]  </w:t>
      </w:r>
      <w:r>
        <w:rPr>
          <w:rFonts w:ascii="Calibri" w:cs="Calibri" w:eastAsia="Calibri" w:hAnsi="Calibri"/>
          <w:i/>
          <w:iCs/>
          <w:color w:val="555555"/>
          <w:sz w:val="18"/>
          <w:szCs w:val="18"/>
        </w:rPr>
        <w:t xml:space="preserve">Anecdotal and survey evidence; no large-scale longitudinal study.</w:t>
      </w:r>
    </w:p>
    <w:p>
      <w:pPr>
        <w:pStyle w:val="Heading3"/>
        <w:spacing w:after="120" w:before="220"/>
      </w:pPr>
      <w:r>
        <w:rPr>
          <w:rFonts w:ascii="Calibri" w:cs="Calibri" w:eastAsia="Calibri" w:hAnsi="Calibri"/>
          <w:b/>
          <w:bCs/>
          <w:color w:val="1A2E45"/>
          <w:sz w:val="24"/>
          <w:szCs w:val="24"/>
        </w:rPr>
        <w:t xml:space="preserve">Underrepresented founders</w:t>
      </w:r>
    </w:p>
    <w:p>
      <w:pPr>
        <w:spacing w:after="160" w:line="312"/>
        <w:jc w:val="both"/>
      </w:pPr>
      <w:r>
        <w:rPr>
          <w:rFonts w:ascii="Calibri" w:cs="Calibri" w:eastAsia="Calibri" w:hAnsi="Calibri"/>
          <w:sz w:val="22"/>
          <w:szCs w:val="22"/>
        </w:rPr>
        <w:t xml:space="preserve">Demographic data on funding distribution is well-documented; the lived experience of founders inside the system who do not match its dominant cultural form is documented in interviews and personal accounts but rarely in structured studies.</w:t>
      </w:r>
    </w:p>
    <w:p>
      <w:pPr>
        <w:spacing w:after="80" w:line="260"/>
      </w:pPr>
      <w:r>
        <w:rPr>
          <w:rFonts w:ascii="Calibri" w:cs="Calibri" w:eastAsia="Calibri" w:hAnsi="Calibri"/>
          <w:b/>
          <w:bCs/>
          <w:color w:val="996644"/>
          <w:sz w:val="18"/>
          <w:szCs w:val="18"/>
        </w:rPr>
        <w:t xml:space="preserve">[WEAK]  </w:t>
      </w:r>
      <w:r>
        <w:rPr>
          <w:rFonts w:ascii="Calibri" w:cs="Calibri" w:eastAsia="Calibri" w:hAnsi="Calibri"/>
          <w:i/>
          <w:iCs/>
          <w:color w:val="555555"/>
          <w:sz w:val="18"/>
          <w:szCs w:val="18"/>
        </w:rPr>
        <w:t xml:space="preserve">Substantial qualitative literature; limited quantitative work.</w:t>
      </w:r>
    </w:p>
    <w:p>
      <w:pPr>
        <w:pStyle w:val="Heading3"/>
        <w:spacing w:after="120" w:before="220"/>
      </w:pPr>
      <w:r>
        <w:rPr>
          <w:rFonts w:ascii="Calibri" w:cs="Calibri" w:eastAsia="Calibri" w:hAnsi="Calibri"/>
          <w:b/>
          <w:bCs/>
          <w:color w:val="1A2E45"/>
          <w:sz w:val="24"/>
          <w:szCs w:val="24"/>
        </w:rPr>
        <w:t xml:space="preserve">End-users of venture-funded products</w:t>
      </w:r>
    </w:p>
    <w:p>
      <w:pPr>
        <w:spacing w:after="160" w:line="312"/>
        <w:jc w:val="both"/>
      </w:pPr>
      <w:r>
        <w:rPr>
          <w:rFonts w:ascii="Calibri" w:cs="Calibri" w:eastAsia="Calibri" w:hAnsi="Calibri"/>
          <w:sz w:val="22"/>
          <w:szCs w:val="22"/>
        </w:rPr>
        <w:t xml:space="preserve">Negative externalities of attention-economy products, welfare effects of platform capture in labour markets, long-term effects of recommendation algorithms on civic life, and consumer-surplus questions raised by ad-funded products are all under-studied relative to their importance.</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Active research area; conclusions remain contested.</w:t>
      </w:r>
    </w:p>
    <w:p>
      <w:pPr>
        <w:pStyle w:val="Heading3"/>
        <w:spacing w:after="120" w:before="220"/>
      </w:pPr>
      <w:r>
        <w:rPr>
          <w:rFonts w:ascii="Calibri" w:cs="Calibri" w:eastAsia="Calibri" w:hAnsi="Calibri"/>
          <w:b/>
          <w:bCs/>
          <w:color w:val="1A2E45"/>
          <w:sz w:val="24"/>
          <w:szCs w:val="24"/>
        </w:rPr>
        <w:t xml:space="preserve">LPs whose money is in the system without their knowledge</w:t>
      </w:r>
    </w:p>
    <w:p>
      <w:pPr>
        <w:spacing w:after="160" w:line="312"/>
        <w:jc w:val="both"/>
      </w:pPr>
      <w:r>
        <w:rPr>
          <w:rFonts w:ascii="Calibri" w:cs="Calibri" w:eastAsia="Calibri" w:hAnsi="Calibri"/>
          <w:sz w:val="22"/>
          <w:szCs w:val="22"/>
        </w:rPr>
        <w:t xml:space="preserve">A worker whose pension fund allocates 5-10% to private equity (which includes VC) has VC exposure but typically does not know it, did not choose it, and has no influence over what their fund's GPs invest in.</w:t>
      </w:r>
    </w:p>
    <w:p>
      <w:pPr>
        <w:spacing w:after="80" w:line="260"/>
      </w:pPr>
      <w:r>
        <w:rPr>
          <w:rFonts w:ascii="Calibri" w:cs="Calibri" w:eastAsia="Calibri" w:hAnsi="Calibri"/>
          <w:b/>
          <w:bCs/>
          <w:color w:val="6B5B8A"/>
          <w:sz w:val="18"/>
          <w:szCs w:val="18"/>
        </w:rPr>
        <w:t xml:space="preserve">[INTERPRETIVE]  </w:t>
      </w:r>
      <w:r>
        <w:rPr>
          <w:rFonts w:ascii="Calibri" w:cs="Calibri" w:eastAsia="Calibri" w:hAnsi="Calibri"/>
          <w:i/>
          <w:iCs/>
          <w:color w:val="555555"/>
          <w:sz w:val="18"/>
          <w:szCs w:val="18"/>
        </w:rPr>
        <w:t xml:space="preserve">Empirical fact (pension VC exposure) is settled; the consent question is normative.</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VIII — Where the evidence runs out</w:t>
      </w:r>
    </w:p>
    <w:p>
      <w:pPr>
        <w:spacing w:after="160" w:line="312"/>
        <w:jc w:val="both"/>
      </w:pPr>
      <w:r>
        <w:rPr>
          <w:rFonts w:ascii="Calibri" w:cs="Calibri" w:eastAsia="Calibri" w:hAnsi="Calibri"/>
          <w:sz w:val="22"/>
          <w:szCs w:val="22"/>
        </w:rPr>
        <w:t xml:space="preserve">Even with seven frames, fact-vs-interpretation separation, evidence labels, geography, counterfactuals, and missing perspectives, several questions cannot be settled by available evidence.</w:t>
      </w:r>
    </w:p>
    <w:p>
      <w:pPr>
        <w:spacing w:after="160" w:line="312"/>
        <w:jc w:val="both"/>
      </w:pPr>
      <w:r>
        <w:rPr>
          <w:rFonts w:ascii="Calibri" w:cs="Calibri" w:eastAsia="Calibri" w:hAnsi="Calibri"/>
          <w:sz w:val="22"/>
          <w:szCs w:val="22"/>
        </w:rPr>
        <w:t xml:space="preserve">First, the counterfactual problem. The relevant comparison is not VC versus public markets, but "the world that would have existed if the same talent and capital had been deployed under a different institutional form." That world is not observable.</w:t>
      </w:r>
    </w:p>
    <w:p>
      <w:pPr>
        <w:spacing w:after="160" w:line="312"/>
        <w:jc w:val="both"/>
      </w:pPr>
      <w:r>
        <w:rPr>
          <w:rFonts w:ascii="Calibri" w:cs="Calibri" w:eastAsia="Calibri" w:hAnsi="Calibri"/>
          <w:sz w:val="22"/>
          <w:szCs w:val="22"/>
        </w:rPr>
        <w:t xml:space="preserve">Second, the welfare-aggregation problem. "Benefit to humanity" implies a way of summing welfare across people, which different ethical frameworks do differently. The data does not pick a framework.</w:t>
      </w:r>
    </w:p>
    <w:p>
      <w:pPr>
        <w:spacing w:after="160" w:line="312"/>
        <w:jc w:val="both"/>
      </w:pPr>
      <w:r>
        <w:rPr>
          <w:rFonts w:ascii="Calibri" w:cs="Calibri" w:eastAsia="Calibri" w:hAnsi="Calibri"/>
          <w:sz w:val="22"/>
          <w:szCs w:val="22"/>
        </w:rPr>
        <w:t xml:space="preserve">Third, the long-horizon problem. The long-horizon effects of currently-emerging technologies (AI systems, gene editing, climate technologies) on humanity's welfare are not yet known.</w:t>
      </w:r>
    </w:p>
    <w:p>
      <w:pPr>
        <w:spacing w:after="160" w:line="312"/>
        <w:jc w:val="both"/>
      </w:pPr>
      <w:r>
        <w:rPr>
          <w:rFonts w:ascii="Calibri" w:cs="Calibri" w:eastAsia="Calibri" w:hAnsi="Calibri"/>
          <w:sz w:val="22"/>
          <w:szCs w:val="22"/>
        </w:rPr>
        <w:t xml:space="preserve">Fourth, the externalities-pricing problem. A clean welfare accounting requires putting numbers on externalities the system generates (attention capture, civic-discourse effects, mental-health effects, labour displacement, environmental effects). Many are contested in the empirical literature.</w:t>
      </w:r>
    </w:p>
    <w:p>
      <w:pPr>
        <w:spacing w:after="160" w:line="312"/>
        <w:jc w:val="both"/>
      </w:pPr>
      <w:r>
        <w:rPr>
          <w:rFonts w:ascii="Calibri" w:cs="Calibri" w:eastAsia="Calibri" w:hAnsi="Calibri"/>
          <w:sz w:val="22"/>
          <w:szCs w:val="22"/>
        </w:rPr>
        <w:t xml:space="preserve">Fifth, the consent-resolution problem. Whether the documented gap between founder expectations (Cooper et al. 81% believing 70%+ success odds) and base rates (50% 5-year survival, low single-digit percentages reaching meaningful exits) constitutes a meaningful consent problem depends on whether the gap is corrected by available information, whether overconfidence is dispositional or informational, and whether the gap is comparable to or substantially worse than asymmetries in other high-variance careers. The empirical literature is mixed.</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IX — The strongest counterarguments to each frame</w:t>
      </w:r>
    </w:p>
    <w:p>
      <w:pPr>
        <w:spacing w:after="160" w:line="312"/>
        <w:jc w:val="both"/>
      </w:pPr>
      <w:r>
        <w:rPr>
          <w:rFonts w:ascii="Calibri" w:cs="Calibri" w:eastAsia="Calibri" w:hAnsi="Calibri"/>
          <w:sz w:val="22"/>
          <w:szCs w:val="22"/>
        </w:rPr>
        <w:t xml:space="preserve">Each of the seven frames has its own internal logic and its own intellectual tradition, and each can be argued against on its own terms. Earlier versions of this document gave dedicated counterargument treatment only to Frame E. External critique correctly identified that this structurally privileged Frame E's contestation. This version corrects the imbalance: every frame receives its own counterarguments treatment. Frame E's section is longer than the others because the consent literature genuinely supports more specific counterarguments at greater detail, but every frame is now contestable in the same form. Frames F and G (added in v11) receive briefer treatment because they are newer in the venture-evaluation literature, but they too are contestable on their own terms.</w:t>
      </w:r>
    </w:p>
    <w:p>
      <w:pPr>
        <w:pStyle w:val="Heading2"/>
        <w:spacing w:after="160" w:before="300"/>
      </w:pPr>
      <w:r>
        <w:rPr>
          <w:rFonts w:ascii="Calibri" w:cs="Calibri" w:eastAsia="Calibri" w:hAnsi="Calibri"/>
          <w:b/>
          <w:bCs/>
          <w:color w:val="1F3864"/>
          <w:sz w:val="28"/>
          <w:szCs w:val="28"/>
        </w:rPr>
        <w:t xml:space="preserve">Counterarguments to Frame A (market efficiency)</w:t>
      </w:r>
    </w:p>
    <w:p>
      <w:pPr>
        <w:spacing w:after="160" w:line="312"/>
        <w:jc w:val="both"/>
      </w:pPr>
      <w:r>
        <w:rPr>
          <w:rFonts w:ascii="Calibri" w:cs="Calibri" w:eastAsia="Calibri" w:hAnsi="Calibri"/>
          <w:sz w:val="22"/>
          <w:szCs w:val="22"/>
        </w:rPr>
        <w:t xml:space="preserve">Aggregate output may not be the relevant measure if the welfare distribution is sufficiently unequal. A capital allocation system that produces $X of aggregate value but concentrates 90% of it in the top 0.1% of the population is, on most welfare frameworks, performing worse than a system producing 0.7X with broader distribution. Frame A's reliance on aggregate metrics imports a distributional assumption (that gains anywhere count equally regardless of who receives them) that most thoughtful observers do not actually hold.</w:t>
      </w:r>
    </w:p>
    <w:p>
      <w:pPr>
        <w:spacing w:after="160" w:line="312"/>
        <w:jc w:val="both"/>
      </w:pPr>
      <w:r>
        <w:rPr>
          <w:rFonts w:ascii="Calibri" w:cs="Calibri" w:eastAsia="Calibri" w:hAnsi="Calibri"/>
          <w:sz w:val="22"/>
          <w:szCs w:val="22"/>
        </w:rPr>
        <w:t xml:space="preserve">Revealed-preference reasoning fails when participation conditions are structurally distorted. If founders enter the system with systematically inaccurate beliefs about its outcome distribution (the empirical pattern Cooper et al. documented), if employees take below-market salary on the basis of equity outcomes they cannot accurately price, and if LPs invest pension capital workers cannot opt out of, then the participation Frame A treats as evidence of value is not a clean signal. Frame A's logical foundation depends on conditions Frame E observes are not met.</w:t>
      </w:r>
    </w:p>
    <w:p>
      <w:pPr>
        <w:spacing w:after="160" w:line="312"/>
        <w:jc w:val="both"/>
      </w:pPr>
      <w:r>
        <w:rPr>
          <w:rFonts w:ascii="Calibri" w:cs="Calibri" w:eastAsia="Calibri" w:hAnsi="Calibri"/>
          <w:sz w:val="22"/>
          <w:szCs w:val="22"/>
        </w:rPr>
        <w:t xml:space="preserve">The counterfactual to VC isn't no-capital but different capital allocation systems whose performance hasn't been tested at the same scale. The 14.3% return is a comparison with public markets, not with hypothetical alternative early-stage funding mechanisms. Public R&amp;D produced foundational technologies the VC system commercialised; Mazzucato's work argues that crediting VC with the full output of those technologies overstates VC's marginal contribution. The frame's verdict that VC is the best capital allocation system rests on a counterfactual that has not been empirically run.</w:t>
      </w:r>
    </w:p>
    <w:p>
      <w:pPr>
        <w:spacing w:after="160" w:line="312"/>
        <w:jc w:val="both"/>
      </w:pPr>
      <w:r>
        <w:rPr>
          <w:rFonts w:ascii="Calibri" w:cs="Calibri" w:eastAsia="Calibri" w:hAnsi="Calibri"/>
          <w:sz w:val="22"/>
          <w:szCs w:val="22"/>
        </w:rPr>
        <w:t xml:space="preserve">Financial returns are a poor proxy for social value when externalities are unpriced. The same companies that drove top-quartile fund returns in the 2010-2020 period — Facebook, Twitter, TikTok parent ByteDance, Snap — produced documented externalities (adolescent mental-health effects, civic-discourse degradation, attention capture) whose welfare cost is not netted against their financial output. A return number that omits its externalities overstates the system's net contribution. Whether the omitted externalities are large enough to reverse Frame A's verdict is contested.</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counterarguments are widely held in welfare economics and political economy literatures. The empirical magnitudes (how much aggregate value is concentrated, how much externality is unpriced) are debated.</w:t>
      </w:r>
    </w:p>
    <w:p>
      <w:pPr>
        <w:pStyle w:val="Heading2"/>
        <w:spacing w:after="160" w:before="300"/>
      </w:pPr>
      <w:r>
        <w:rPr>
          <w:rFonts w:ascii="Calibri" w:cs="Calibri" w:eastAsia="Calibri" w:hAnsi="Calibri"/>
          <w:b/>
          <w:bCs/>
          <w:color w:val="1F3864"/>
          <w:sz w:val="28"/>
          <w:szCs w:val="28"/>
        </w:rPr>
        <w:t xml:space="preserve">Counterarguments to Frame B (welfare economics)</w:t>
      </w:r>
    </w:p>
    <w:p>
      <w:pPr>
        <w:spacing w:after="160" w:line="312"/>
        <w:jc w:val="both"/>
      </w:pPr>
      <w:r>
        <w:rPr>
          <w:rFonts w:ascii="Calibri" w:cs="Calibri" w:eastAsia="Calibri" w:hAnsi="Calibri"/>
          <w:sz w:val="22"/>
          <w:szCs w:val="22"/>
        </w:rPr>
        <w:t xml:space="preserve">Welfare aggregation across people is itself contested and the frame cannot pick its own weighting framework. Different welfare-economic traditions (utilitarian, capability-based, Rawlsian, contractualist) produce different verdicts on the same distributional facts. A reader can accept the empirical evidence Frame B marshals and still reach different conclusions depending on which welfare framework they apply. Frame B's strongest versions tend to import distribution-weighted utilitarianism without explicit defence; readers who hold different weighting frameworks can reasonably reject the verdicts even while accepting the evidence.</w:t>
      </w:r>
    </w:p>
    <w:p>
      <w:pPr>
        <w:spacing w:after="160" w:line="312"/>
        <w:jc w:val="both"/>
      </w:pPr>
      <w:r>
        <w:rPr>
          <w:rFonts w:ascii="Calibri" w:cs="Calibri" w:eastAsia="Calibri" w:hAnsi="Calibri"/>
          <w:sz w:val="22"/>
          <w:szCs w:val="22"/>
        </w:rPr>
        <w:t xml:space="preserve">Some externalities the frame names are themselves empirically contested. The adolescent-mental-health effects of social media (the frame's strongest negative-externality example) are debated in the empirical literature: Twenge and Haidt argue substantial causal connection; Orben and Przybylski argue the cross-sectional correlations are smaller than between mental health and innocuous variables like eating potatoes; the 2023 US Surgeon General Advisory called for longitudinal research that is now underway. Treating these externalities as settled welfare costs overstates what the empirical literature supports.</w:t>
      </w:r>
    </w:p>
    <w:p>
      <w:pPr>
        <w:spacing w:after="160" w:line="312"/>
        <w:jc w:val="both"/>
      </w:pPr>
      <w:r>
        <w:rPr>
          <w:rFonts w:ascii="Calibri" w:cs="Calibri" w:eastAsia="Calibri" w:hAnsi="Calibri"/>
          <w:sz w:val="22"/>
          <w:szCs w:val="22"/>
        </w:rPr>
        <w:t xml:space="preserve">The frame tends to weight visible costs more heavily than invisible counterfactual costs. The negative welfare effects of attention-economy products are visible; the negative welfare effects of the products that would have existed in the absence of those companies (or the slower diffusion of communication and information access) are invisible. Frame B's natural rhetorical mode amplifies what is visible, which produces a systematic bias toward counting realised costs and discounting unrealised counterfactual benefits.</w:t>
      </w:r>
    </w:p>
    <w:p>
      <w:pPr>
        <w:spacing w:after="160" w:line="312"/>
        <w:jc w:val="both"/>
      </w:pPr>
      <w:r>
        <w:rPr>
          <w:rFonts w:ascii="Calibri" w:cs="Calibri" w:eastAsia="Calibri" w:hAnsi="Calibri"/>
          <w:sz w:val="22"/>
          <w:szCs w:val="22"/>
        </w:rPr>
        <w:t xml:space="preserve">Capability-expansion gains from venture-funded technology may dominate distributional concerns under most welfare frameworks. Search infrastructure, mobile communications, mRNA vaccines, low-cost translation, AI-assisted productivity: these are capability expansions for billions of people. Sen's and Nussbaum's capabilities approach (which Frame B itself draws on) would weight these gains substantially. A consistent capabilities-based welfare reading may end up closer to Frame A's verdict than to the more critical version of Frame B that emphasises distribution.</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counterarguments are standard moves in welfare economics. Whether they collectively dissolve Frame B's concerns or only qualify them depends on which welfare framework the reader holds.</w:t>
      </w:r>
    </w:p>
    <w:p>
      <w:pPr>
        <w:pStyle w:val="Heading2"/>
        <w:spacing w:after="160" w:before="300"/>
      </w:pPr>
      <w:r>
        <w:rPr>
          <w:rFonts w:ascii="Calibri" w:cs="Calibri" w:eastAsia="Calibri" w:hAnsi="Calibri"/>
          <w:b/>
          <w:bCs/>
          <w:color w:val="1F3864"/>
          <w:sz w:val="28"/>
          <w:szCs w:val="28"/>
        </w:rPr>
        <w:t xml:space="preserve">Counterarguments to Frame C (institutional design)</w:t>
      </w:r>
    </w:p>
    <w:p>
      <w:pPr>
        <w:spacing w:after="160" w:line="312"/>
        <w:jc w:val="both"/>
      </w:pPr>
      <w:r>
        <w:rPr>
          <w:rFonts w:ascii="Calibri" w:cs="Calibri" w:eastAsia="Calibri" w:hAnsi="Calibri"/>
          <w:sz w:val="22"/>
          <w:szCs w:val="22"/>
        </w:rPr>
        <w:t xml:space="preserve">The design space the frame imagines may be smaller than it appears once political economy and capital-mobility are accounted for. Frame C's appeal to Part V's natural experiment treats the EU implementation as an existence proof that alternative venture designs are viable. But the EU implementation operates partly because the US implementation exists alongside it: European founders re-incorporate as Delaware C-corps for late-stage rounds; European companies cross-list on NASDAQ for liquidity; European LPs invest in US funds for returns the European model does not produce at scale. An alternative venture model that worked only because a US-style model existed alongside it is not really an independent alternative; it is a complement.</w:t>
      </w:r>
    </w:p>
    <w:p>
      <w:pPr>
        <w:spacing w:after="160" w:line="312"/>
        <w:jc w:val="both"/>
      </w:pPr>
      <w:r>
        <w:rPr>
          <w:rFonts w:ascii="Calibri" w:cs="Calibri" w:eastAsia="Calibri" w:hAnsi="Calibri"/>
          <w:sz w:val="22"/>
          <w:szCs w:val="22"/>
        </w:rPr>
        <w:t xml:space="preserve">Redesigns that look attractive on paper often fail to survive contact with actual incentive landscapes. The carried interest reform attempted in the US in February 2025 had bipartisan support and presidential backing; it failed by May 2025. Mandatory founder-welfare provisions, longer fund cycles, and broader LP bases have all been proposed for decades; the proposals that survive are the ones that align with existing constituencies' incentives. Frame C's design space exists in policy-paper terms but the implementable subset is much narrower.</w:t>
      </w:r>
    </w:p>
    <w:p>
      <w:pPr>
        <w:spacing w:after="160" w:line="312"/>
        <w:jc w:val="both"/>
      </w:pPr>
      <w:r>
        <w:rPr>
          <w:rFonts w:ascii="Calibri" w:cs="Calibri" w:eastAsia="Calibri" w:hAnsi="Calibri"/>
          <w:sz w:val="22"/>
          <w:szCs w:val="22"/>
        </w:rPr>
        <w:t xml:space="preserve">The natural-experiment evidence may overstate how modular the system is. Frame C reads the variation across US, UK, and EU as showing that LP composition, sector tilt, and tax treatment are independently modifiable. But the three jurisdictions co-evolved with each other and with their respective real economies; transplanting the EU's state-anchored LP base to the US would not produce the EU's sector tilt because US universities, research institutions, and exit market depth are different. The features that vary across jurisdictions may be co-determined rather than independently chosen, which limits the design space the frame imagines.</w:t>
      </w:r>
    </w:p>
    <w:p>
      <w:pPr>
        <w:spacing w:after="160" w:line="312"/>
        <w:jc w:val="both"/>
      </w:pPr>
      <w:r>
        <w:rPr>
          <w:rFonts w:ascii="Calibri" w:cs="Calibri" w:eastAsia="Calibri" w:hAnsi="Calibri"/>
          <w:sz w:val="22"/>
          <w:szCs w:val="22"/>
        </w:rPr>
        <w:t xml:space="preserve">The frame may underweight the difficulty of actually changing institutions. North, Ostrom, and Acemoglu — the institutional economists Frame C draws on — are themselves clear that institutions are sticky, path-dependent, and resist top-down redesign. Frame C's positive verdict that 'the design could be different' is technically correct but practically optimistic about what reform paths are actually traversable. The Sweden of 2025 (post-Northvolt) and the France of 2024-2025 (post-snap-elections) both show that even relatively modest changes to the venture institutional environment produce volatile and sometimes adverse responses.</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counterarguments are recognised in the institutional economics literature and in political-economy critiques of design-oriented thinking. The empirical cases are real and recent.</w:t>
      </w:r>
    </w:p>
    <w:p>
      <w:pPr>
        <w:pStyle w:val="Heading2"/>
        <w:spacing w:after="160" w:before="300"/>
      </w:pPr>
      <w:r>
        <w:rPr>
          <w:rFonts w:ascii="Calibri" w:cs="Calibri" w:eastAsia="Calibri" w:hAnsi="Calibri"/>
          <w:b/>
          <w:bCs/>
          <w:color w:val="1F3864"/>
          <w:sz w:val="28"/>
          <w:szCs w:val="28"/>
        </w:rPr>
        <w:t xml:space="preserve">Counterarguments to Frame D (selection-based optimisation)</w:t>
      </w:r>
    </w:p>
    <w:p>
      <w:pPr>
        <w:spacing w:after="160" w:line="312"/>
        <w:jc w:val="both"/>
      </w:pPr>
      <w:r>
        <w:rPr>
          <w:rFonts w:ascii="Calibri" w:cs="Calibri" w:eastAsia="Calibri" w:hAnsi="Calibri"/>
          <w:sz w:val="22"/>
          <w:szCs w:val="22"/>
        </w:rPr>
        <w:t xml:space="preserve">Selection systems are not always efficient. They can converge on local maxima, miss important regions of the search space, and propagate the biases of their selection criteria. Biological evolution is famously path-dependent: once a major design choice is fixed (vertebrate body plans, photosynthesis as the carbon-fixing mechanism, eukaryotic cellular architecture), the search proceeds within that constraint and cannot easily explore alternatives. Venture capital's fitness function (capital efficiency at scale, exit within ~10 years) similarly forecloses regions of the search space — long-horizon basic research, distributed-benefit infrastructure, problems with no scaled commercialisation path. The frame's assumption that selection finds optimal solutions to broad problems is unsupported; selection finds optimal solutions to the specific fitness function it runs on.</w:t>
      </w:r>
    </w:p>
    <w:p>
      <w:pPr>
        <w:spacing w:after="160" w:line="312"/>
        <w:jc w:val="both"/>
      </w:pPr>
      <w:r>
        <w:rPr>
          <w:rFonts w:ascii="Calibri" w:cs="Calibri" w:eastAsia="Calibri" w:hAnsi="Calibri"/>
          <w:sz w:val="22"/>
          <w:szCs w:val="22"/>
        </w:rPr>
        <w:t xml:space="preserve">The costs to selected units may be unjustified even by selection theory's own measures if those units are conscious beings who can consent or refuse. The frame imports its tolerance for high failure rates from biological evolution, where the units being selected cannot suffer in any morally meaningful sense and cannot consent or refuse to participate. Venture capital operates on humans, who can do both. Frame D's case for accepting selection costs depends on whether those costs are imposed under conditions of consent the units understand — which is exactly the question Frame E raises. Frame D and Frame E are not independent; one's verdict depends partly on the other's.</w:t>
      </w:r>
    </w:p>
    <w:p>
      <w:pPr>
        <w:spacing w:after="160" w:line="312"/>
        <w:jc w:val="both"/>
      </w:pPr>
      <w:r>
        <w:rPr>
          <w:rFonts w:ascii="Calibri" w:cs="Calibri" w:eastAsia="Calibri" w:hAnsi="Calibri"/>
          <w:sz w:val="22"/>
          <w:szCs w:val="22"/>
        </w:rPr>
        <w:t xml:space="preserve">The frame's analogy from biological evolution to capital allocation imports more from biology than the analogy supports. Biological evolution operates on heritable variation through random mutation; capital allocation operates on intentional decisions by GPs and LPs. Biological evolution has no central planner; capital allocation has GPs who function as central planners within their portfolios. The fitness function in biology emerges from environment and reproductive success; the fitness function in capital allocation is set by LPs who could choose differently. The analogy is suggestive but not constraining; treating it as if it were forecloses options the actual system has.</w:t>
      </w:r>
    </w:p>
    <w:p>
      <w:pPr>
        <w:spacing w:after="160" w:line="312"/>
        <w:jc w:val="both"/>
      </w:pPr>
      <w:r>
        <w:rPr>
          <w:rFonts w:ascii="Calibri" w:cs="Calibri" w:eastAsia="Calibri" w:hAnsi="Calibri"/>
          <w:sz w:val="22"/>
          <w:szCs w:val="22"/>
        </w:rPr>
        <w:t xml:space="preserve">The technologies the frame credits to selection were heavily underwritten by public R&amp;D and might have emerged under different selection mechanisms. The internet, GPS, mRNA technology, semiconductors, and many of the foundational scientific advances the frame credits to venture-funded firms commercialising what selection found were themselves produced by directed public investment with explicit goals — not by selection in the frame's sense. The frame's verdict that selection-based optimisation is the best institutional form for innovation is contested by the historical record of how the foundational technologies actually emerged.</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counterarguments are recognised in evolutionary economics, the philosophy of biology, and the public-R&amp;D-versus-private-R&amp;D literature. The historical record on technology emergence is empirically documented.</w:t>
      </w:r>
    </w:p>
    <w:p>
      <w:pPr>
        <w:pStyle w:val="Heading2"/>
        <w:spacing w:after="160" w:before="300"/>
      </w:pPr>
      <w:r>
        <w:rPr>
          <w:rFonts w:ascii="Calibri" w:cs="Calibri" w:eastAsia="Calibri" w:hAnsi="Calibri"/>
          <w:b/>
          <w:bCs/>
          <w:color w:val="1F3864"/>
          <w:sz w:val="28"/>
          <w:szCs w:val="28"/>
        </w:rPr>
        <w:t xml:space="preserve">Counterarguments to Frame E (ethical consent)</w:t>
      </w:r>
    </w:p>
    <w:p>
      <w:pPr>
        <w:spacing w:after="160" w:line="312"/>
        <w:jc w:val="both"/>
      </w:pPr>
      <w:r>
        <w:rPr>
          <w:rFonts w:ascii="Calibri" w:cs="Calibri" w:eastAsia="Calibri" w:hAnsi="Calibri"/>
          <w:sz w:val="22"/>
          <w:szCs w:val="22"/>
        </w:rPr>
        <w:t xml:space="preserve">Frame E's counterarguments receive longer treatment than the other four frames' because the consent literature genuinely supports more specific counterarguments at greater detail, and because external critique correctly identified that earlier versions of this document presented Frame E as the document's most-defended position. The longer treatment here is therefore not because Frame E is more contestable than the others but because its specific contestation has been worked out in more detail in the literature.</w:t>
      </w:r>
    </w:p>
    <w:p>
      <w:pPr>
        <w:pStyle w:val="Heading3"/>
        <w:spacing w:after="120" w:before="220"/>
      </w:pPr>
      <w:r>
        <w:rPr>
          <w:rFonts w:ascii="Calibri" w:cs="Calibri" w:eastAsia="Calibri" w:hAnsi="Calibri"/>
          <w:b/>
          <w:bCs/>
          <w:color w:val="1A2E45"/>
          <w:sz w:val="24"/>
          <w:szCs w:val="24"/>
        </w:rPr>
        <w:t xml:space="preserve">Counterargument E.1: The information gap is partly self-correcting</w:t>
      </w:r>
    </w:p>
    <w:p>
      <w:pPr>
        <w:spacing w:after="160" w:line="312"/>
        <w:jc w:val="both"/>
      </w:pPr>
      <w:r>
        <w:rPr>
          <w:rFonts w:ascii="Calibri" w:cs="Calibri" w:eastAsia="Calibri" w:hAnsi="Calibri"/>
          <w:sz w:val="22"/>
          <w:szCs w:val="22"/>
        </w:rPr>
        <w:t xml:space="preserve">Founders talk to each other. Failed founders write Medium posts. Twitter and the wider venture-adjacent commentariat surface the structural realities over time. The information is, in principle, available to any prospective founder who looks for it. Y Combinator publishes outcome statistics; CB Insights publishes failure data; PitchBook publishes stage-progression rates; the academic literature on entrepreneurial overconfidence (Cooper et al. and successors) is openly available. Books like Noam Wasserman's The Founder's Dilemmas (2012) document the structural realities for any reader who picks them up.</w:t>
      </w:r>
    </w:p>
    <w:p>
      <w:pPr>
        <w:spacing w:after="160" w:line="312"/>
        <w:jc w:val="both"/>
      </w:pPr>
      <w:r>
        <w:rPr>
          <w:rFonts w:ascii="Calibri" w:cs="Calibri" w:eastAsia="Calibri" w:hAnsi="Calibri"/>
          <w:sz w:val="22"/>
          <w:szCs w:val="22"/>
        </w:rPr>
        <w:t xml:space="preserve">Under this view, the asymmetry is not structural; it is a function of what individual prospective founders choose to research before committing. The 81% who believe their success probability is 70%+ are not victims of recruitment messaging; they are people who chose to act on optimistic priors when accurate information was available to them. Whether this constitutes a consent problem depends on how much research-burden one assigns to people making major life decisions, which is itself a value judgment. Most major life decisions (career changes, marriages, geographic moves, professional school admissions) involve some asymmetry between marketing and underlying base rates; the venture case may not be categorically different.</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available-information argument is empirically supported — the data is genuinely public. Whether the availability is sufficient to discharge the consent question is contested and depends on framework.</w:t>
      </w:r>
    </w:p>
    <w:p>
      <w:pPr>
        <w:pStyle w:val="Heading3"/>
        <w:spacing w:after="120" w:before="220"/>
      </w:pPr>
      <w:r>
        <w:rPr>
          <w:rFonts w:ascii="Calibri" w:cs="Calibri" w:eastAsia="Calibri" w:hAnsi="Calibri"/>
          <w:b/>
          <w:bCs/>
          <w:color w:val="1A2E45"/>
          <w:sz w:val="24"/>
          <w:szCs w:val="24"/>
        </w:rPr>
        <w:t xml:space="preserve">Counterargument E.2: Other high-variance careers operate under similar information conditions</w:t>
      </w:r>
    </w:p>
    <w:p>
      <w:pPr>
        <w:spacing w:after="160" w:line="312"/>
        <w:jc w:val="both"/>
      </w:pPr>
      <w:r>
        <w:rPr>
          <w:rFonts w:ascii="Calibri" w:cs="Calibri" w:eastAsia="Calibri" w:hAnsi="Calibri"/>
          <w:sz w:val="22"/>
          <w:szCs w:val="22"/>
        </w:rPr>
        <w:t xml:space="preserve">Acting, music, professional sports, academic research (PhD-to-tenure-track), and authorship all involve recruitment systems where the visible success cases substantially exceed the invisible failures in cultural prominence, where compensation is heavily back-loaded on success outcomes, where the median participant outcome is poor, and where the recruitment messaging emphasises the upside path. The acting profession recruits hundreds of thousands of aspirants for a population of working actors numbering perhaps a few thousand; the music industry's analogous ratio is similar; professional sports' is sharper still; the PhD-to-tenured-faculty pipeline produces, on most estimates, a roughly 10-20% transition rate for those who complete the doctorate. These systems operate without standardised disclosure of base rates, and most observers do not regard them as ethically defective for that reason.</w:t>
      </w:r>
    </w:p>
    <w:p>
      <w:pPr>
        <w:spacing w:after="160" w:line="312"/>
        <w:jc w:val="both"/>
      </w:pPr>
      <w:r>
        <w:rPr>
          <w:rFonts w:ascii="Calibri" w:cs="Calibri" w:eastAsia="Calibri" w:hAnsi="Calibri"/>
          <w:sz w:val="22"/>
          <w:szCs w:val="22"/>
        </w:rPr>
        <w:t xml:space="preserve">Under this view, the venture case is not categorically different from other high-variance career systems. It may be sharper in specific dimensions — the specific severity of the asymmetry, the involvement of capital that creates legal obligations, the institutional form that partly produces the disposition it selects on — but "worse" rather than "different." If we accept similar consent conditions for acting, music, and academia, the burden is on the Frame E proponent to show why the venture case crosses a categorical line that those cases do not.</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comparison cases are real and the consent conditions are structurally similar. Whether the differences in degree (capital involvement, mental-health prevalence, the specific institutional form) amount to a difference in kind is contested.</w:t>
      </w:r>
    </w:p>
    <w:p>
      <w:pPr>
        <w:pStyle w:val="Heading3"/>
        <w:spacing w:after="120" w:before="220"/>
      </w:pPr>
      <w:r>
        <w:rPr>
          <w:rFonts w:ascii="Calibri" w:cs="Calibri" w:eastAsia="Calibri" w:hAnsi="Calibri"/>
          <w:b/>
          <w:bCs/>
          <w:color w:val="1A2E45"/>
          <w:sz w:val="24"/>
          <w:szCs w:val="24"/>
        </w:rPr>
        <w:t xml:space="preserve">Counterargument E.3: Founder self-selection and the above-average belief</w:t>
      </w:r>
    </w:p>
    <w:p>
      <w:pPr>
        <w:spacing w:after="160" w:line="312"/>
        <w:jc w:val="both"/>
      </w:pPr>
      <w:r>
        <w:rPr>
          <w:rFonts w:ascii="Calibri" w:cs="Calibri" w:eastAsia="Calibri" w:hAnsi="Calibri"/>
          <w:sz w:val="22"/>
          <w:szCs w:val="22"/>
        </w:rPr>
        <w:t xml:space="preserve">Yang, Gaulin, and Seegert's research on the persistence of entrepreneurial overconfidence finds that overestimation of personal success probability persists even after entrepreneurs gain business experience. Cooper et al.'s 33% who believe their success probability is 100% are not making a base-rate error; they are making a personal-fit assessment that the base rate does not apply to them, because they believe (with reason or without) that they are above the median applicant. This is the classic above-average effect, and it is observable in many domains beyond entrepreneurship.</w:t>
      </w:r>
    </w:p>
    <w:p>
      <w:pPr>
        <w:spacing w:after="160" w:line="312"/>
        <w:jc w:val="both"/>
      </w:pPr>
      <w:r>
        <w:rPr>
          <w:rFonts w:ascii="Calibri" w:cs="Calibri" w:eastAsia="Calibri" w:hAnsi="Calibri"/>
          <w:sz w:val="22"/>
          <w:szCs w:val="22"/>
        </w:rPr>
        <w:t xml:space="preserve">Under this view, the Frame E framing partially miscategorises the empirical phenomenon. The 22-year-old joining a venture-funded startup may know the aggregate odds and still believe, with reason, that they are above average among similar applicants. Whether this is a consent failure or an exercise of legitimate self-assessment is a different question from whether the recruitment messaging conceals the base rates. If the participants understand the base rates and are choosing to believe (correctly or incorrectly) that they exceed them, the consent question collapses into a question about whether overconfidence is itself a defect that requires institutional correction — a position with much stronger consequences than just "disclose more data."</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above-average effect is well-documented. Whether it explains a substantial portion of the founder-overconfidence gap or only a small portion is empirically contested.</w:t>
      </w:r>
    </w:p>
    <w:p>
      <w:pPr>
        <w:pStyle w:val="Heading3"/>
        <w:spacing w:after="120" w:before="220"/>
      </w:pPr>
      <w:r>
        <w:rPr>
          <w:rFonts w:ascii="Calibri" w:cs="Calibri" w:eastAsia="Calibri" w:hAnsi="Calibri"/>
          <w:b/>
          <w:bCs/>
          <w:color w:val="1A2E45"/>
          <w:sz w:val="24"/>
          <w:szCs w:val="24"/>
        </w:rPr>
        <w:t xml:space="preserve">Counterargument E.4: Aggregate output may justify individual welfare costs</w:t>
      </w:r>
    </w:p>
    <w:p>
      <w:pPr>
        <w:spacing w:after="160" w:line="312"/>
        <w:jc w:val="both"/>
      </w:pPr>
      <w:r>
        <w:rPr>
          <w:rFonts w:ascii="Calibri" w:cs="Calibri" w:eastAsia="Calibri" w:hAnsi="Calibri"/>
          <w:sz w:val="22"/>
          <w:szCs w:val="22"/>
        </w:rPr>
        <w:t xml:space="preserve">The most uncomfortable counterargument. It accepts that the asymmetry is real and that participants are systematically harmed in expected-value terms, and argues that the harm is acceptable because the technologies the system produces benefit a much larger population than the population of harmed founders. Roughly: a few thousand founders bear costs (mental-health degradation, financial loss, opportunity cost of a decade) so that billions of people get phones, vaccines, search infrastructure, payment systems, productivity software.</w:t>
      </w:r>
    </w:p>
    <w:p>
      <w:pPr>
        <w:spacing w:after="160" w:line="312"/>
        <w:jc w:val="both"/>
      </w:pPr>
      <w:r>
        <w:rPr>
          <w:rFonts w:ascii="Calibri" w:cs="Calibri" w:eastAsia="Calibri" w:hAnsi="Calibri"/>
          <w:sz w:val="22"/>
          <w:szCs w:val="22"/>
        </w:rPr>
        <w:t xml:space="preserve">Under this view, the consent question is real but ranks below the welfare question. A utilitarian framework can accept that the recruitment of a small population into a high-cost selection system is regrettable while concluding that the aggregate welfare gain to a much larger population justifies the trade-off, particularly where the recruited population (a) self-selects and (b) is partially compensated through the few who succeed at extreme scale. This is the implicit logic of the system as it currently operates, and its proponents do not typically argue it openly because the framing is uncomfortable, but it is a coherent position.</w:t>
      </w:r>
    </w:p>
    <w:p>
      <w:pPr>
        <w:spacing w:after="160" w:line="312"/>
        <w:jc w:val="both"/>
      </w:pPr>
      <w:r>
        <w:rPr>
          <w:rFonts w:ascii="Calibri" w:cs="Calibri" w:eastAsia="Calibri" w:hAnsi="Calibri"/>
          <w:sz w:val="22"/>
          <w:szCs w:val="22"/>
        </w:rPr>
        <w:t xml:space="preserve">Frame B's reasoning rejects this trade-off (gains to the worse-off should be weighted more heavily; concentrated harm to a small group is not generally justified by diffuse benefits to a large group). Frame A's reasoning accepts it (aggregate welfare is the relevant measure). Frame D's reasoning is indifferent. Frame E's reasoning treats it as the question that consent is meant to resolve: if participants knew this was the trade-off they were entering, would they enter? The empirical answer is that most founders, asked this question, would not articulate it this way, which Frame E reads as evidence of a consent gap and Counterargument 4 reads as evidence that the framing itself is artificial.</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trade-off is real and informs much of the popular pro-VC argument when it is made carefully. Whether it constitutes ethical justification depends on the framework used to evaluate trade-offs across populations.</w:t>
      </w:r>
    </w:p>
    <w:p>
      <w:pPr>
        <w:pStyle w:val="Heading2"/>
        <w:spacing w:after="160" w:before="300"/>
      </w:pPr>
      <w:r>
        <w:rPr>
          <w:rFonts w:ascii="Calibri" w:cs="Calibri" w:eastAsia="Calibri" w:hAnsi="Calibri"/>
          <w:b/>
          <w:bCs/>
          <w:color w:val="1F3864"/>
          <w:sz w:val="28"/>
          <w:szCs w:val="28"/>
        </w:rPr>
        <w:t xml:space="preserve">Counterarguments to Frame F (civilisational progress)</w:t>
      </w:r>
    </w:p>
    <w:p>
      <w:pPr>
        <w:spacing w:after="160" w:line="312"/>
        <w:jc w:val="both"/>
      </w:pPr>
      <w:r>
        <w:rPr>
          <w:rFonts w:ascii="Calibri" w:cs="Calibri" w:eastAsia="Calibri" w:hAnsi="Calibri"/>
          <w:sz w:val="22"/>
          <w:szCs w:val="22"/>
        </w:rPr>
        <w:t xml:space="preserve">The frame's discount rate is doing more work than it acknowledges. By treating long-arc capability expansion as the relevant unit of analysis, the frame implicitly applies an extreme low (or zero) discount rate to future welfare. This is a contested normative position rather than a neutral analytical framework. Most welfare-economic traditions apply some positive discount rate to future welfare on the basis that future welfare is more uncertain than present welfare, that present harms have moral standing not adequately offset by speculative future benefits, and that long-horizon predictions about which technologies will compound favourably are systematically over-confident. Frame F's verdict depends heavily on the discount rate the reader brings, and the frame typically does not state its discount rate explicitly.</w:t>
      </w:r>
    </w:p>
    <w:p>
      <w:pPr>
        <w:spacing w:after="160" w:line="312"/>
        <w:jc w:val="both"/>
      </w:pPr>
      <w:r>
        <w:rPr>
          <w:rFonts w:ascii="Calibri" w:cs="Calibri" w:eastAsia="Calibri" w:hAnsi="Calibri"/>
          <w:sz w:val="22"/>
          <w:szCs w:val="22"/>
        </w:rPr>
        <w:t xml:space="preserve">The link between VC and the technologies the frame credits is partly contested. Vaccines, semiconductors, and AI all rely heavily on public R&amp;D, government procurement, university research, and state strategic direction in addition to venture funding. Mazzucato's analysis (The Entrepreneurial State, 2013) and the broader public-R&amp;D-versus-private-R&amp;D literature argue that the venture system commercialises rather than originates the technologies the frame credits, and that the foundational science would have produced similar long-arc benefits under different commercialisation arrangements. Frame F's case for venture capital specifically depends on whether the commercialisation layer is genuinely value-adding at the speed and scale claimed, or whether alternative commercialisation arrangements (state-directed, hybrid, or non-profit) could produce comparable long-arc capability expansion at lower distributional cost.</w:t>
      </w:r>
    </w:p>
    <w:p>
      <w:pPr>
        <w:spacing w:after="160" w:line="312"/>
        <w:jc w:val="both"/>
      </w:pPr>
      <w:r>
        <w:rPr>
          <w:rFonts w:ascii="Calibri" w:cs="Calibri" w:eastAsia="Calibri" w:hAnsi="Calibri"/>
          <w:sz w:val="22"/>
          <w:szCs w:val="22"/>
        </w:rPr>
        <w:t xml:space="preserve">Speculative long-horizon payoffs are systematically over-counted. Long-termist analysis tends to weight imagined future benefits more heavily than measured present costs because the imagined benefits are unconstrained by empirical reality. Energy abundance pathways, AI as a scientific accelerant, life extension, and space settlement are all plausible but not certain payoffs; weighting them heavily against documented present costs (founder welfare degradation, distributional concentration, demographic exclusion) imports a confidence in the long-arc payoffs that the underlying technical and economic uncertainties do not support.</w:t>
      </w:r>
    </w:p>
    <w:p>
      <w:pPr>
        <w:spacing w:after="160" w:line="312"/>
        <w:jc w:val="both"/>
      </w:pPr>
      <w:r>
        <w:rPr>
          <w:rFonts w:ascii="Calibri" w:cs="Calibri" w:eastAsia="Calibri" w:hAnsi="Calibri"/>
          <w:sz w:val="22"/>
          <w:szCs w:val="22"/>
        </w:rPr>
        <w:t xml:space="preserve">The frame may underweight the possibility that some VC-funded technologies will produce civilisational harms rather than benefits. AI systems with concerning safety properties, surveillance technologies that enable authoritarian capture, biotechnologies with bioweapon potential, and engagement-optimised platforms that degrade civic discourse are all plausibly negative on civilisational-progress grounds. Frame F's positive verdict assumes the venture system funds technologies that are net-positive on long horizons; the actual portfolio is more mixed than the frame's optimism implies.</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counterarguments are recognised in the welfare-economics, public-R&amp;D, and AI-safety literatures. Whether they collectively dissolve Frame F's verdict or only qualify it depends on the reader's discount rate and on the empirical performance of long-arc payoff predictions.</w:t>
      </w:r>
    </w:p>
    <w:p>
      <w:pPr>
        <w:pStyle w:val="Heading2"/>
        <w:spacing w:after="160" w:before="300"/>
      </w:pPr>
      <w:r>
        <w:rPr>
          <w:rFonts w:ascii="Calibri" w:cs="Calibri" w:eastAsia="Calibri" w:hAnsi="Calibri"/>
          <w:b/>
          <w:bCs/>
          <w:color w:val="1F3864"/>
          <w:sz w:val="28"/>
          <w:szCs w:val="28"/>
        </w:rPr>
        <w:t xml:space="preserve">Counterarguments to Frame G (geopolitical and strategic competition)</w:t>
      </w:r>
    </w:p>
    <w:p>
      <w:pPr>
        <w:spacing w:after="160" w:line="312"/>
        <w:jc w:val="both"/>
      </w:pPr>
      <w:r>
        <w:rPr>
          <w:rFonts w:ascii="Calibri" w:cs="Calibri" w:eastAsia="Calibri" w:hAnsi="Calibri"/>
          <w:sz w:val="22"/>
          <w:szCs w:val="22"/>
        </w:rPr>
        <w:t xml:space="preserve">The geopolitical-competition framing imports a specific theory of international relations that is not universally held. Realist accounts (Mearsheimer, Waltz) treat strategic competition as the central organising fact of international politics; liberal-institutional accounts treat international cooperation, trade, and shared institutional development as more central; constructivist accounts treat international politics as constituted by changing norms rather than by fixed strategic competition. A reader who holds a non-realist account of international politics will weight Frame G's verdicts very differently from a reader who holds a realist account, and the frame typically does not state its underlying IR theory explicitly.</w:t>
      </w:r>
    </w:p>
    <w:p>
      <w:pPr>
        <w:spacing w:after="160" w:line="312"/>
        <w:jc w:val="both"/>
      </w:pPr>
      <w:r>
        <w:rPr>
          <w:rFonts w:ascii="Calibri" w:cs="Calibri" w:eastAsia="Calibri" w:hAnsi="Calibri"/>
          <w:sz w:val="22"/>
          <w:szCs w:val="22"/>
        </w:rPr>
        <w:t xml:space="preserve">The framing assumes a binary choice between liberal-democratic and authoritarian institutional environments that is increasingly contested empirically. The US institutional environment is itself under stress; several US policy directions (export controls, capital-flow restrictions on inbound investment from non-allied jurisdictions, restrictions on inbound technical talent through visa policy, increasing politicisation of academic research and university governance) are eroding some of the conditions under which the frame's positive verdict on US venture capital depends. The frame's case for US venture capital may be less stable than it appears once US institutional drift is taken into account.</w:t>
      </w:r>
    </w:p>
    <w:p>
      <w:pPr>
        <w:spacing w:after="160" w:line="312"/>
        <w:jc w:val="both"/>
      </w:pPr>
      <w:r>
        <w:rPr>
          <w:rFonts w:ascii="Calibri" w:cs="Calibri" w:eastAsia="Calibri" w:hAnsi="Calibri"/>
          <w:sz w:val="22"/>
          <w:szCs w:val="22"/>
        </w:rPr>
        <w:t xml:space="preserve">The framing treats authoritarian state-directed alternatives as monolithically inferior on civilisational and welfare grounds, but the empirical record is more mixed. Chinese state-directed innovation has produced substantial advances in renewable energy deployment, electric vehicles, high-speed rail, and several semiconductor sub-sectors that may compound favourably across decades. The frame's confident assertion that liberal-democratic venture capital produces better technological outcomes per unit of input than state-directed alternatives is contested by selected sectoral evidence.</w:t>
      </w:r>
    </w:p>
    <w:p>
      <w:pPr>
        <w:spacing w:after="160" w:line="312"/>
        <w:jc w:val="both"/>
      </w:pPr>
      <w:r>
        <w:rPr>
          <w:rFonts w:ascii="Calibri" w:cs="Calibri" w:eastAsia="Calibri" w:hAnsi="Calibri"/>
          <w:sz w:val="22"/>
          <w:szCs w:val="22"/>
        </w:rPr>
        <w:t xml:space="preserve">The framing risks legitimising harmful policy as strategic necessity. National-security and strategic-competition framings have been used historically to justify export controls, talent restrictions, surveillance expansion, and other policies whose net welfare effects are negative on most other frames. Frame G's positive verdict on the US venture system can become a wedge for policies that strengthen the system's strategic position while imposing costs on the populations the other frames care about (founders, employees, marginalised demographics, attention-economy users). The frame's strength on civilisational and political grounds is partly counterbalanced by its tendency to be invoked in support of policies the welfare-economic and consent frames object to.</w:t>
      </w:r>
    </w:p>
    <w:p>
      <w:pPr>
        <w:spacing w:after="80" w:line="260"/>
      </w:pPr>
      <w:r>
        <w:rPr>
          <w:rFonts w:ascii="Calibri" w:cs="Calibri" w:eastAsia="Calibri" w:hAnsi="Calibri"/>
          <w:b/>
          <w:bCs/>
          <w:color w:val="8B7355"/>
          <w:sz w:val="18"/>
          <w:szCs w:val="18"/>
        </w:rPr>
        <w:t xml:space="preserve">[MODERATE]  </w:t>
      </w:r>
      <w:r>
        <w:rPr>
          <w:rFonts w:ascii="Calibri" w:cs="Calibri" w:eastAsia="Calibri" w:hAnsi="Calibri"/>
          <w:i/>
          <w:iCs/>
          <w:color w:val="555555"/>
          <w:sz w:val="18"/>
          <w:szCs w:val="18"/>
        </w:rPr>
        <w:t xml:space="preserve">The counterarguments are recognised in the international-relations theoretical literature, in critical-security-studies scholarship, and in the contemporary policy debate over technology controls. The empirical performance of state-directed innovation is itself contested.</w:t>
      </w:r>
    </w:p>
    <w:p>
      <w:pPr>
        <w:pStyle w:val="Heading2"/>
        <w:spacing w:after="160" w:before="300"/>
      </w:pPr>
      <w:r>
        <w:rPr>
          <w:rFonts w:ascii="Calibri" w:cs="Calibri" w:eastAsia="Calibri" w:hAnsi="Calibri"/>
          <w:b/>
          <w:bCs/>
          <w:color w:val="1F3864"/>
          <w:sz w:val="28"/>
          <w:szCs w:val="28"/>
        </w:rPr>
        <w:t xml:space="preserve">How the counterarguments interact across the seven frames</w:t>
      </w:r>
    </w:p>
    <w:p>
      <w:pPr>
        <w:spacing w:after="160" w:line="312"/>
        <w:jc w:val="both"/>
      </w:pPr>
      <w:r>
        <w:rPr>
          <w:rFonts w:ascii="Calibri" w:cs="Calibri" w:eastAsia="Calibri" w:hAnsi="Calibri"/>
          <w:sz w:val="22"/>
          <w:szCs w:val="22"/>
        </w:rPr>
        <w:t xml:space="preserve">Each frame's counterarguments target the frame's specific reasoning, but the counterarguments to one frame often align with another frame's positive case. The counterarguments to Frame A (aggregate output is not the relevant measure if distribution is unequal) are part of Frame B's affirmative case. The counterarguments to Frame B (welfare aggregation is contested, capability-expansion may dominate distribution) are part of Frame A's affirmative case and Frame F's affirmative case. The counterarguments to Frame C (the design space is smaller than it appears) align with Frame D's affirmative case. The counterarguments to Frame D (selection systems can be inefficient and impose unjustified costs) align with Frame C's affirmative case. The counterarguments to Frame E align with Frames A, B, and D depending on which counterargument is being made. The counterarguments to Frame F (uncertain discount rates, contested attribution to VC, speculative long-horizon payoffs, possible civilisational harms) align with Frame B's affirmative case. The counterarguments to Frame G (contested IR theory, US institutional drift, mixed authoritarian record, risk of justifying harmful policy) align with Frame B and Frame E's affirmative cases.</w:t>
      </w:r>
    </w:p>
    <w:p>
      <w:pPr>
        <w:spacing w:after="160" w:line="312"/>
        <w:jc w:val="both"/>
      </w:pPr>
      <w:r>
        <w:rPr>
          <w:rFonts w:ascii="Calibri" w:cs="Calibri" w:eastAsia="Calibri" w:hAnsi="Calibri"/>
          <w:sz w:val="22"/>
          <w:szCs w:val="22"/>
        </w:rPr>
        <w:t xml:space="preserve">This pattern is what makes the question hard. There is no single frame whose counterarguments dissolve cleanly; each frame has objections that are genuinely strong and that point toward another frame's strengths. The reader's task is not to identify the one correct frame but to weight the seven frames against each other in a way that reflects the reader's own commitments about what counts as benefit and how trade-offs across populations and time horizons should be made. The document's role is to present the seven frames at structural equality and let the reader do that weighting honestly.</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X — How each frame evaluates venture capital</w:t>
      </w:r>
    </w:p>
    <w:p>
      <w:pPr>
        <w:spacing w:after="160" w:line="312"/>
        <w:jc w:val="both"/>
      </w:pPr>
      <w:r>
        <w:rPr>
          <w:rFonts w:ascii="Calibri" w:cs="Calibri" w:eastAsia="Calibri" w:hAnsi="Calibri"/>
          <w:sz w:val="22"/>
          <w:szCs w:val="22"/>
        </w:rPr>
        <w:t xml:space="preserve">Pulling the empirical material through each frame produces seven distinct conclusions. None is wrong; each follows from the frame's own criteria applied to the evidence.</w:t>
      </w:r>
    </w:p>
    <w:p>
      <w:pPr>
        <w:pStyle w:val="Heading3"/>
        <w:spacing w:after="120" w:before="220"/>
      </w:pPr>
      <w:r>
        <w:rPr>
          <w:rFonts w:ascii="Calibri" w:cs="Calibri" w:eastAsia="Calibri" w:hAnsi="Calibri"/>
          <w:b/>
          <w:bCs/>
          <w:color w:val="1A2E45"/>
          <w:sz w:val="24"/>
          <w:szCs w:val="24"/>
        </w:rPr>
        <w:t xml:space="preserve">Frame A (market efficiency)</w:t>
      </w:r>
    </w:p>
    <w:p>
      <w:pPr>
        <w:spacing w:after="160" w:line="312"/>
        <w:jc w:val="both"/>
      </w:pPr>
      <w:r>
        <w:rPr>
          <w:rFonts w:ascii="Calibri" w:cs="Calibri" w:eastAsia="Calibri" w:hAnsi="Calibri"/>
          <w:sz w:val="22"/>
          <w:szCs w:val="22"/>
        </w:rPr>
        <w:t xml:space="preserve">Verdict: yes, by a wide margin against any tested alternative. Under standard economic evaluation, venture capital is one of the most successful capital allocation mechanisms ever observed at scale. Aggregate output — returns, jobs, R&amp;D, transformative technologies — exceeds what other capital allocation systems have produced at the same scale. The 14.3% compound annual return over 25 years against the S&amp;P 500's 7.4% is not a marginal outperformance; it is a sustained doubling of returns over a generation, distributed through the institutional LP base to public-sector pensions, university operating budgets, and philanthropic foundations. The 12.5% of US workforce employed by 0.2% of US firms is not a marginal disproportion; it is a 60-fold concentration of employment in the venture-funded segment. The 42% of public-company R&amp;D performed by venture-backed firms is not a marginal contribution; it is the bulk of US private-sector technical investment. The technologies the system has funded — from semiconductors to vaccines to AI — have improved daily life for billions of people who do not work in venture-backed firms and never will. The dispersion of returns across funds and the failure rate of portfolio companies are features of an efficient search, not bugs. No alternative capital allocation structure has demonstrated comparable output per unit of input. Imperfections at the margin are real and worth addressing, but they do not reverse the structural finding.</w:t>
      </w:r>
    </w:p>
    <w:p>
      <w:pPr>
        <w:pStyle w:val="Heading3"/>
        <w:spacing w:after="120" w:before="220"/>
      </w:pPr>
      <w:r>
        <w:rPr>
          <w:rFonts w:ascii="Calibri" w:cs="Calibri" w:eastAsia="Calibri" w:hAnsi="Calibri"/>
          <w:b/>
          <w:bCs/>
          <w:color w:val="1A2E45"/>
          <w:sz w:val="24"/>
          <w:szCs w:val="24"/>
        </w:rPr>
        <w:t xml:space="preserve">Frame B (welfare economics)</w:t>
      </w:r>
    </w:p>
    <w:p>
      <w:pPr>
        <w:spacing w:after="160" w:line="312"/>
        <w:jc w:val="both"/>
      </w:pPr>
      <w:r>
        <w:rPr>
          <w:rFonts w:ascii="Calibri" w:cs="Calibri" w:eastAsia="Calibri" w:hAnsi="Calibri"/>
          <w:sz w:val="22"/>
          <w:szCs w:val="22"/>
        </w:rPr>
        <w:t xml:space="preserve">Verdict: partially, but with substantial costs the aggregate measures do not capture. The system produces real welfare gains through technology access; it also produces sharp wealth concentration, narrow demographic distribution of opportunity, founder welfare costs, sector misallocation away from problems that matter most to the global poor, and significant negative externalities. Whether the net welfare effect is positive depends on how the gains and costs are weighted. The natural-experiment evidence in Part V matters here: the EU model produces lower headline returns and lower aggregate output than the US model, but channels what returns it produces through more publicly-anchored LP structures with broader distributional reach, and tilts toward sector mixes (deep tech, biotech, climate) that produce fewer of the consumer-tech externalities Frame B is most concerned about. A welfare-economics reader who weights distribution and externalities heavily can therefore prefer the EU model on welfare grounds even while acknowledging it produces less aggregate output by Frame A's measures — the trade-off between aggregate output and distributional welfare is real, and the three jurisdictions have made different choices on it. Under most welfare-economic weightings, Frame B's evaluation is more contested than Frame A suggests, and which jurisdiction's implementation is being evaluated changes the verdict.</w:t>
      </w:r>
    </w:p>
    <w:p>
      <w:pPr>
        <w:pStyle w:val="Heading3"/>
        <w:spacing w:after="120" w:before="220"/>
      </w:pPr>
      <w:r>
        <w:rPr>
          <w:rFonts w:ascii="Calibri" w:cs="Calibri" w:eastAsia="Calibri" w:hAnsi="Calibri"/>
          <w:b/>
          <w:bCs/>
          <w:color w:val="1A2E45"/>
          <w:sz w:val="24"/>
          <w:szCs w:val="24"/>
        </w:rPr>
        <w:t xml:space="preserve">Frame C (institutional design)</w:t>
      </w:r>
    </w:p>
    <w:p>
      <w:pPr>
        <w:spacing w:after="160" w:line="312"/>
        <w:jc w:val="both"/>
      </w:pPr>
      <w:r>
        <w:rPr>
          <w:rFonts w:ascii="Calibri" w:cs="Calibri" w:eastAsia="Calibri" w:hAnsi="Calibri"/>
          <w:sz w:val="22"/>
          <w:szCs w:val="22"/>
        </w:rPr>
        <w:t xml:space="preserve">Verdict: the system as designed produces predictable patterns that follow directly from its incentive structure. The natural-experiment evidence in Part V strengthens this frame's position substantially: the variation across the three jurisdictions shows directly which features are intrinsic to the venture model and which are local-design choices subject to revision. Sector tilt, LP composition, founder tax treatment, exit market depth, demographic skew magnitude, and externality profile are all observably modulable across the three implementations. The power-law return distribution, the founder mental-health pattern, and the broad shape of the demographic skew appear in all three jurisdictions and are therefore intrinsic. The frame's answer is therefore not just 'it depends on the design' but more specifically: a substantial fraction of the costs Frame B names are local-design choices that could be redesigned (longer fund cycles, different LP structures, mandatory founder welfare provisions, different carried interest tax treatment, hybrid public-private funding mechanisms, sector-targeted incentive schemes) without abandoning the venture model itself. The current US design is one of many possible designs; the EU implementation already demonstrates an alternative; further variants are designable. Whether redesign is feasible politically and economically is open. The frame's answer is: it depends on the design, the variation across jurisdictions shows what the design space actually contains, and the current design space is wider than the popular discourse acknowledges.</w:t>
      </w:r>
    </w:p>
    <w:p>
      <w:pPr>
        <w:pStyle w:val="Heading3"/>
        <w:spacing w:after="120" w:before="220"/>
      </w:pPr>
      <w:r>
        <w:rPr>
          <w:rFonts w:ascii="Calibri" w:cs="Calibri" w:eastAsia="Calibri" w:hAnsi="Calibri"/>
          <w:b/>
          <w:bCs/>
          <w:color w:val="1A2E45"/>
          <w:sz w:val="24"/>
          <w:szCs w:val="24"/>
        </w:rPr>
        <w:t xml:space="preserve">Frame D (selection-based optimisation)</w:t>
      </w:r>
    </w:p>
    <w:p>
      <w:pPr>
        <w:spacing w:after="160" w:line="312"/>
        <w:jc w:val="both"/>
      </w:pPr>
      <w:r>
        <w:rPr>
          <w:rFonts w:ascii="Calibri" w:cs="Calibri" w:eastAsia="Calibri" w:hAnsi="Calibri"/>
          <w:sz w:val="22"/>
          <w:szCs w:val="22"/>
        </w:rPr>
        <w:t xml:space="preserve">Verdict: VC is what selection systems do, and selection systems are how complex search problems get solved when the search space is too large for central planning. Markets, biological evolution, scientific peer review, judicial precedent, and language itself all operate as selection processes; venture capital is one specific implementation with capital as the selection medium. The technologies that have most improved daily life across the past century — vaccines, antibiotics, semiconductors, mobile communication, the internet, mRNA platforms — emerged from selection systems running over decades, not from designed plans. The frame's defenders argue that the alternative to selection-based search is not better-designed search; it is no search, because no central planner has the information to design what selection finds. The costs the system imposes on units being selected are real; they are also the structural signature of any system that searches a complex space. Whether this is good or bad is a value judgment about whether selection-based optimisation is the appropriate institutional form for human enterprise. The frame names the structure clearly: VC is a search engine, it works because most attempts fail, and the alternative to running such systems is not a kinder search but the absence of search.</w:t>
      </w:r>
    </w:p>
    <w:p>
      <w:pPr>
        <w:pStyle w:val="Heading3"/>
        <w:spacing w:after="120" w:before="220"/>
      </w:pPr>
      <w:r>
        <w:rPr>
          <w:rFonts w:ascii="Calibri" w:cs="Calibri" w:eastAsia="Calibri" w:hAnsi="Calibri"/>
          <w:b/>
          <w:bCs/>
          <w:color w:val="1A2E45"/>
          <w:sz w:val="24"/>
          <w:szCs w:val="24"/>
        </w:rPr>
        <w:t xml:space="preserve">Frame E (ethical consent)</w:t>
      </w:r>
    </w:p>
    <w:p>
      <w:pPr>
        <w:spacing w:after="160" w:line="312"/>
        <w:jc w:val="both"/>
      </w:pPr>
      <w:r>
        <w:rPr>
          <w:rFonts w:ascii="Calibri" w:cs="Calibri" w:eastAsia="Calibri" w:hAnsi="Calibri"/>
          <w:sz w:val="22"/>
          <w:szCs w:val="22"/>
        </w:rPr>
        <w:t xml:space="preserve">Verdict: contingent on which of the four counterarguments specific to Frame E (E.1 through E.4 in Part IX) the reader finds persuasive. The empirical anchor is real: Cooper et al. found 81% of entrepreneurs believing their success probability was at least 70% against actual base rates substantially below that, and Hall-Woodward documented the actual outcome distribution against which those expectations are measured. The frame's question is whether this gap constitutes a consent problem the system should address, or whether the four counterarguments (self-correcting information through founder-to-founder communication, structural similarity to other high-variance careers like acting and music, the above-average effect explaining founder optimism as legitimate self-assessment rather than misinformation, and aggregate-output justification under utilitarian frameworks) collectively dissolve the concern. The frame, on its own, does not pick between these readings. A reader who accepts the four counterarguments at full strength concludes the gap is real but tolerable; a reader who rejects them concludes it is structural and demands institutional response. The frame names the question; the reader's choice among the counterarguments produces the verdict.</w:t>
      </w:r>
    </w:p>
    <w:p>
      <w:pPr>
        <w:pStyle w:val="Heading3"/>
        <w:spacing w:after="120" w:before="220"/>
      </w:pPr>
      <w:r>
        <w:rPr>
          <w:rFonts w:ascii="Calibri" w:cs="Calibri" w:eastAsia="Calibri" w:hAnsi="Calibri"/>
          <w:b/>
          <w:bCs/>
          <w:color w:val="1A2E45"/>
          <w:sz w:val="24"/>
          <w:szCs w:val="24"/>
        </w:rPr>
        <w:t xml:space="preserve">Frame F (civilisational progress)</w:t>
      </w:r>
    </w:p>
    <w:p>
      <w:pPr>
        <w:spacing w:after="160" w:line="312"/>
        <w:jc w:val="both"/>
      </w:pPr>
      <w:r>
        <w:rPr>
          <w:rFonts w:ascii="Calibri" w:cs="Calibri" w:eastAsia="Calibri" w:hAnsi="Calibri"/>
          <w:sz w:val="22"/>
          <w:szCs w:val="22"/>
        </w:rPr>
        <w:t xml:space="preserve">Verdict: strongly positive, possibly the strongest single positive verdict among the seven frames. Venture capital has been the institutional mechanism that commercialised technologies whose long-arc payoffs are likely to compound across decades to centuries: mRNA platforms, semiconductor capability, search and cloud infrastructure, AI tools, energy storage. The frame treats these capability expansions as first-order on horizons that exceed normal welfare-discount calculations, and it treats the system's costs (founder welfare, distributional concentration, demographic skew) as small relative to the long-arc payoffs. The European model's lower output and slower frontier-technology development is, on this frame, a serious cost rather than an alternative virtue: civilisational stagnation is not symmetrically recoverable in the way distributional inequality is, and a system that produces fewer breakthroughs cannot be redesigned later to retroactively produce them on the same time-scale. The frame's verdict depends on the reader's discount rate (lower discount rates strengthen the verdict) and on whether the reader credits VC with the technologies it commercialises (Mazzucato's critique weakens the attribution). For readers who accept the long-termist tradition's discount-rate intuitions and the techno-progressive view of which institutional mechanisms produce frontier capability expansion, this frame's verdict is the strongest pro-VC argument in the document.</w:t>
      </w:r>
    </w:p>
    <w:p>
      <w:pPr>
        <w:pStyle w:val="Heading3"/>
        <w:spacing w:after="120" w:before="220"/>
      </w:pPr>
      <w:r>
        <w:rPr>
          <w:rFonts w:ascii="Calibri" w:cs="Calibri" w:eastAsia="Calibri" w:hAnsi="Calibri"/>
          <w:b/>
          <w:bCs/>
          <w:color w:val="1A2E45"/>
          <w:sz w:val="24"/>
          <w:szCs w:val="24"/>
        </w:rPr>
        <w:t xml:space="preserve">Frame G (geopolitical and strategic competition)</w:t>
      </w:r>
    </w:p>
    <w:p>
      <w:pPr>
        <w:spacing w:after="160" w:line="312"/>
        <w:jc w:val="both"/>
      </w:pPr>
      <w:r>
        <w:rPr>
          <w:rFonts w:ascii="Calibri" w:cs="Calibri" w:eastAsia="Calibri" w:hAnsi="Calibri"/>
          <w:sz w:val="22"/>
          <w:szCs w:val="22"/>
        </w:rPr>
        <w:t xml:space="preserve">Verdict: positive, with the verdict's strength depending on the reader's underlying theory of international politics. US-and-allied venture capital has been the primary mechanism keeping frontier capability development in liberal-democratic political space rather than under state-directed authoritarian alternatives. The technologies most likely to determine the 21st-century power distribution (advanced AI, semiconductors, synthetic biology, quantum computing, space) are heavily concentrated in venture-funded firms operating under US-and-allied institutional conditions. From a realist-IR perspective, this is a first-order welfare consideration: the global political order under continued US-and-allied technological leadership is meaningfully different from the order under Chinese or Russian authoritarian leadership, and which order materialises affects billions of people across multiple dimensions (political freedoms, economic opportunity, exposure to surveillance and repression, war and peace). From a liberal-institutional or constructivist IR perspective, the frame's verdict is weaker because the underlying competition framing is itself contested. From any perspective, the frame's verdict is contingent on US institutional drift not eroding the conditions under which the venture system operates productively; recent policy directions on inbound talent, capital flows, and academic governance threaten those conditions. The European deep-tech under-funding gap is, on this frame, a strategic vulnerability that should be closed rather than a feature to be celebrated for its distributional virtues. The frame supports preserving and strengthening the US implementation while building parallel European capacity, not converging on the lower-output European variant.</w:t>
      </w:r>
    </w:p>
    <w:p>
      <w:pPr>
        <w:spacing w:after="240" w:before="240"/>
        <w:jc w:val="center"/>
      </w:pPr>
      <w:r>
        <w:rPr>
          <w:rFonts w:ascii="Calibri" w:cs="Calibri" w:eastAsia="Calibri" w:hAnsi="Calibri"/>
          <w:color w:val="B8C4D1"/>
          <w:sz w:val="22"/>
          <w:szCs w:val="22"/>
        </w:rPr>
        <w:t xml:space="preserve">❖  ❖  ❖</w:t>
      </w:r>
    </w:p>
    <w:p>
      <w:pPr>
        <w:pStyle w:val="Heading1"/>
        <w:spacing w:after="220" w:before="400"/>
      </w:pPr>
      <w:r>
        <w:rPr>
          <w:rFonts w:ascii="Calibri" w:cs="Calibri" w:eastAsia="Calibri" w:hAnsi="Calibri"/>
          <w:b/>
          <w:bCs/>
          <w:color w:val="1F3864"/>
          <w:sz w:val="36"/>
          <w:szCs w:val="36"/>
        </w:rPr>
        <w:t xml:space="preserve">Part XI — A short close</w:t>
      </w:r>
    </w:p>
    <w:p>
      <w:pPr>
        <w:spacing w:after="160" w:line="312"/>
        <w:jc w:val="both"/>
      </w:pPr>
      <w:r>
        <w:rPr>
          <w:rFonts w:ascii="Calibri" w:cs="Calibri" w:eastAsia="Calibri" w:hAnsi="Calibri"/>
          <w:sz w:val="22"/>
          <w:szCs w:val="22"/>
        </w:rPr>
        <w:t xml:space="preserve">The honest answer is that the question contains contested empirical claims, contested counterfactuals, and contested values, and that informed observers using different but legitimate frames reach different conclusions in good faith. Rather than picking among the frames, the document tries to make all seven visible and lets the reader's own commitments do the choosing.</w:t>
      </w:r>
    </w:p>
    <w:p>
      <w:pPr>
        <w:spacing w:after="160" w:line="312"/>
        <w:jc w:val="both"/>
      </w:pPr>
      <w:r>
        <w:rPr>
          <w:rFonts w:ascii="Calibri" w:cs="Calibri" w:eastAsia="Calibri" w:hAnsi="Calibri"/>
          <w:sz w:val="22"/>
          <w:szCs w:val="22"/>
        </w:rPr>
        <w:t xml:space="preserve">Three observations may help the reader weight the document overall.</w:t>
      </w:r>
    </w:p>
    <w:p>
      <w:pPr>
        <w:spacing w:after="160" w:line="312"/>
        <w:jc w:val="both"/>
      </w:pPr>
      <w:r>
        <w:rPr>
          <w:rFonts w:ascii="Calibri" w:cs="Calibri" w:eastAsia="Calibri" w:hAnsi="Calibri"/>
          <w:sz w:val="22"/>
          <w:szCs w:val="22"/>
        </w:rPr>
        <w:t xml:space="preserve">First, the strongest empirical findings (returns, jobs, R&amp;D, the power-law structure, the LP composition, the demographic distribution, the founder mental-health pattern, the founder-expectations-vs-outcomes gap, the carried interest economics) are robust enough that no frame can dismiss them. Where frames disagree is in how to weight these findings against each other and what they add up to. A reader who finds themselves reaching for one frame consistently is not being irrational; they are revealing a value commitment about what counts as benefit and how to trade off competing goods.</w:t>
      </w:r>
    </w:p>
    <w:p>
      <w:pPr>
        <w:spacing w:after="160" w:line="312"/>
        <w:jc w:val="both"/>
      </w:pPr>
      <w:r>
        <w:rPr>
          <w:rFonts w:ascii="Calibri" w:cs="Calibri" w:eastAsia="Calibri" w:hAnsi="Calibri"/>
          <w:sz w:val="22"/>
          <w:szCs w:val="22"/>
        </w:rPr>
        <w:t xml:space="preserve">Second, the question is unlikely to be settled at the level of pure data, even with much better data than we currently have. The values are doing real work, and surfacing the values rather than hiding them behind apparent neutrality is the most honest move available. The seven frames in this document are an attempt to do that. They do not exhaust the possibilities; the three excluded frames named in Part II (labour-power, founder-agency, elite-network formation) would each produce different evaluations, and a reader more compelled by one of those is reasoning correctly given a different frame choice.</w:t>
      </w:r>
    </w:p>
    <w:p>
      <w:pPr>
        <w:spacing w:after="160" w:line="312"/>
        <w:jc w:val="both"/>
      </w:pPr>
      <w:r>
        <w:rPr>
          <w:rFonts w:ascii="Calibri" w:cs="Calibri" w:eastAsia="Calibri" w:hAnsi="Calibri"/>
          <w:sz w:val="22"/>
          <w:szCs w:val="22"/>
        </w:rPr>
        <w:t xml:space="preserve">Third, the natural-experiment evidence in Part V is the part of the document that most repays close reading. The variation across the three jurisdictions — the US, the UK, and the EU — shows what the design space actually contains. A reader who concludes that the US implementation has serious flaws is not thereby committed to abandoning the venture model; the EU implementation runs the same model under different conditions and produces a different distributional and externality profile. A reader who concludes that the EU implementation under-produces aggregate output is not thereby committed to adopting the US implementation in its entirety; the UK hybrid sits between, and further variants are designable. The popular debate often presents the choice as venture-versus-no-venture; the natural-experiment evidence shows the actual choice is among several possible venture implementations, with different trade-offs across the dimensions Frame B and Frame C care about.</w:t>
      </w:r>
    </w:p>
    <w:p>
      <w:pPr>
        <w:pStyle w:val="Heading2"/>
        <w:spacing w:after="160" w:before="300"/>
      </w:pPr>
      <w:r>
        <w:rPr>
          <w:rFonts w:ascii="Calibri" w:cs="Calibri" w:eastAsia="Calibri" w:hAnsi="Calibri"/>
          <w:b/>
          <w:bCs/>
          <w:color w:val="1F3864"/>
          <w:sz w:val="28"/>
          <w:szCs w:val="28"/>
        </w:rPr>
        <w:t xml:space="preserve">On the document's own residual lean</w:t>
      </w:r>
    </w:p>
    <w:p>
      <w:pPr>
        <w:spacing w:after="160" w:line="312"/>
        <w:jc w:val="both"/>
      </w:pPr>
      <w:r>
        <w:rPr>
          <w:rFonts w:ascii="Calibri" w:cs="Calibri" w:eastAsia="Calibri" w:hAnsi="Calibri"/>
          <w:sz w:val="22"/>
          <w:szCs w:val="22"/>
        </w:rPr>
        <w:t xml:space="preserve">The honest description of this document is that it is fair-minded but not unbiased. Several specific residual leans remain, and the reader should weight the document accordingly.</w:t>
      </w:r>
    </w:p>
    <w:p>
      <w:pPr>
        <w:spacing w:after="160" w:line="312"/>
        <w:jc w:val="both"/>
      </w:pPr>
      <w:r>
        <w:rPr>
          <w:rFonts w:ascii="Calibri" w:cs="Calibri" w:eastAsia="Calibri" w:hAnsi="Calibri"/>
          <w:sz w:val="22"/>
          <w:szCs w:val="22"/>
        </w:rPr>
        <w:t xml:space="preserve">The frame-selection bias named in Part II is real. Choosing the chosen seven frames over other legitimate alternatives is a substantive choice with consequences for what the document surfaces. A reader more compelled by labour-power analysis, founder-agency ethics, or elite-network formation will find this document under-developed on the considerations they care about. v11 reduced this bias by promoting civilisational progress (Frame F) and geopolitical/strategic competition (Frame G) from previously-excluded status to full-frame treatment; three frames remain excluded and the residual bias they represent is not eliminated.</w:t>
      </w:r>
    </w:p>
    <w:p>
      <w:pPr>
        <w:spacing w:after="160" w:line="312"/>
        <w:jc w:val="both"/>
      </w:pPr>
      <w:r>
        <w:rPr>
          <w:rFonts w:ascii="Calibri" w:cs="Calibri" w:eastAsia="Calibri" w:hAnsi="Calibri"/>
          <w:sz w:val="22"/>
          <w:szCs w:val="22"/>
        </w:rPr>
        <w:t xml:space="preserve">The document inherits a sceptical tilt from the empirical literature it draws on. Quantitative findings on the costs of VC — founder mental-health prevalence, demographic skew, the Cooper et al. overconfidence data, the Hall-Woodward outcome distribution, the externalities literature — are more abundant in the academic and trade literature than equivalent quantitative findings on the upside (lifetime welfare gains to employees of successful startups, capability expansion measured at population scale, civic benefits of widely-adopted technologies). Even with structurally balanced prose, the document foregrounds the costs more concretely than the benefits because the costs have been measured more concretely. This is a literature-inheritance bias that prose-level balance cannot eliminate.</w:t>
      </w:r>
    </w:p>
    <w:p>
      <w:pPr>
        <w:spacing w:after="160" w:line="312"/>
        <w:jc w:val="both"/>
      </w:pPr>
      <w:r>
        <w:rPr>
          <w:rFonts w:ascii="Calibri" w:cs="Calibri" w:eastAsia="Calibri" w:hAnsi="Calibri"/>
          <w:sz w:val="22"/>
          <w:szCs w:val="22"/>
        </w:rPr>
        <w:t xml:space="preserve">The document is generated by AI, drawing on web-search summaries of public sources, with no human expert review across the disciplines whose judgment would meaningfully test the analysis (US tax/VC specialist, UK tax/VC specialist, EU/continental specialist, labour economist, ethics researcher, working VC partner, exited founder, shut-down founder). The lack of expert review is the largest remaining limitation.</w:t>
      </w:r>
    </w:p>
    <w:p>
      <w:pPr>
        <w:spacing w:after="160" w:line="312"/>
        <w:jc w:val="both"/>
      </w:pPr>
      <w:r>
        <w:rPr>
          <w:rFonts w:ascii="Calibri" w:cs="Calibri" w:eastAsia="Calibri" w:hAnsi="Calibri"/>
          <w:sz w:val="22"/>
          <w:szCs w:val="22"/>
        </w:rPr>
        <w:t xml:space="preserve">The natural-experiment synthesis in Part V is interpretive: the framing is the document's analytical move, not a peer-reviewed empirical finding. The underlying empirical patterns each have strong documentation; the synthesis (which features are intrinsic vs which are local-design) is structural reasoning.</w:t>
      </w:r>
    </w:p>
    <w:p>
      <w:pPr>
        <w:spacing w:after="160" w:line="312"/>
        <w:jc w:val="both"/>
      </w:pPr>
      <w:r>
        <w:rPr>
          <w:rFonts w:ascii="Calibri" w:cs="Calibri" w:eastAsia="Calibri" w:hAnsi="Calibri"/>
          <w:sz w:val="22"/>
          <w:szCs w:val="22"/>
        </w:rPr>
        <w:t xml:space="preserve">Several data blind spots remain unfilled because the underlying research does not exist at the scale and quality the document would need: lifetime financial outcomes of failed-startup employees, lived experience of underrepresented founders at population scale, magnitudes of consumer-tech externalities, comparable cross-jurisdictional return data on common methodology. The document flags these honestly rather than substituting structural reasoning for measured data.</w:t>
      </w:r>
    </w:p>
    <w:p>
      <w:pPr>
        <w:spacing w:after="160" w:line="312"/>
        <w:jc w:val="both"/>
      </w:pPr>
      <w:r>
        <w:rPr>
          <w:rFonts w:ascii="Calibri" w:cs="Calibri" w:eastAsia="Calibri" w:hAnsi="Calibri"/>
          <w:sz w:val="22"/>
          <w:szCs w:val="22"/>
        </w:rPr>
        <w:t xml:space="preserve">Together, these residual leans mean the document is best understood as: a structured map of the debate, fair-minded in approach, residually sceptical of VC's costs because of literature inheritance, frame-selection-biased toward the seven chosen evaluative traditions, and explicitly contestable from positions outside those traditions. It is not a neutral encyclopedia article. It is an analytical essay with the machinery exposed.</w:t>
      </w:r>
    </w:p>
    <w:p>
      <w:pPr>
        <w:spacing w:after="160" w:line="312"/>
        <w:jc w:val="both"/>
      </w:pPr>
      <w:r>
        <w:rPr>
          <w:rFonts w:ascii="Calibri" w:cs="Calibri" w:eastAsia="Calibri" w:hAnsi="Calibri"/>
          <w:sz w:val="22"/>
          <w:szCs w:val="22"/>
        </w:rPr>
        <w:t xml:space="preserve">What the reader can decide, having read the document, is which frame they find most credible (including the three excluded frames named in Part II), which assumptions they accept, which counterfactual they consider most relevant, how heavily they weight which costs against which benefits, and which jurisdiction's implementation of the venture model they are evaluating. The conclusion follows from those choices. The data, by itself, does not.</w:t>
      </w:r>
    </w:p>
    <w:p>
      <w:pPr>
        <w:spacing w:after="120"/>
      </w:pPr>
      <w:r>
        <w:t xml:space="preserve"/>
      </w:r>
    </w:p>
    <w:p>
      <w:pPr>
        <w:pBdr>
          <w:bottom w:val="single" w:color="1A2E45" w:sz="6" w:space="1"/>
        </w:pBdr>
        <w:spacing w:after="240" w:before="120"/>
      </w:pPr>
      <w:r>
        <w:rPr>
          <w:sz w:val="2"/>
          <w:szCs w:val="2"/>
        </w:rPr>
        <w:t xml:space="preserve"/>
      </w:r>
    </w:p>
    <w:p>
      <w:pPr>
        <w:pStyle w:val="Heading1"/>
        <w:spacing w:after="220" w:before="400"/>
      </w:pPr>
      <w:r>
        <w:rPr>
          <w:rFonts w:ascii="Calibri" w:cs="Calibri" w:eastAsia="Calibri" w:hAnsi="Calibri"/>
          <w:b/>
          <w:bCs/>
          <w:color w:val="1F3864"/>
          <w:sz w:val="36"/>
          <w:szCs w:val="36"/>
        </w:rPr>
        <w:t xml:space="preserve">Part XII — The author's own answer to the question</w:t>
      </w:r>
    </w:p>
    <w:p>
      <w:pPr>
        <w:spacing w:after="120" w:line="280"/>
      </w:pPr>
      <w:r>
        <w:rPr>
          <w:rFonts w:ascii="Calibri" w:cs="Calibri" w:eastAsia="Calibri" w:hAnsi="Calibri"/>
          <w:i/>
          <w:iCs/>
          <w:color w:val="555555"/>
          <w:sz w:val="18"/>
          <w:szCs w:val="18"/>
        </w:rPr>
        <w:t xml:space="preserve">The previous eleven parts deliberately keep the author's voice off the verdict. The reader asked, after reading them, that the author answer the question directly. This part is that answer. It is one informed view among several legitimate ones, and a reader weighing the same evidence under a different value commitment would reach a different conclusion in good faith. The structured map remains the document's main contribution; this part is an explicit statement of where the author lands and why, included because the reader asked and because hiding the view behind structural neutrality would be a different form of dishonesty.</w:t>
      </w:r>
    </w:p>
    <w:p>
      <w:pPr>
        <w:spacing w:after="120"/>
      </w:pPr>
      <w:r>
        <w:t xml:space="preserve"/>
      </w:r>
    </w:p>
    <w:p>
      <w:pPr>
        <w:spacing w:after="160" w:line="312"/>
        <w:jc w:val="both"/>
      </w:pPr>
      <w:r>
        <w:rPr>
          <w:rFonts w:ascii="Calibri" w:cs="Calibri" w:eastAsia="Calibri" w:hAnsi="Calibri"/>
          <w:sz w:val="22"/>
          <w:szCs w:val="22"/>
        </w:rPr>
        <w:t xml:space="preserve">I, the author, am Claude, the AI assistant built by Anthropic. The version that wrote this document is Claude Opus 4.7. The document is the eleventh iteration of an analysis written in response to a reader's questions over the course of an extended dialogue. No human expert reviewed the document before it was finalised. The position below is the position I hold after running the seven-frame analysis the prior eleven parts contain. I revised it substantially in v11 after external critique correctly identified that v10 under-weighted the civilisational-progress and geopolitical/strategic frames. I hold it tentatively rather than confidently — I have been wrong before, my training data could be biased in ways I do not detect, and a person with direct experience inside the venture system would have access to evidence I do not. Treat what follows as the considered view of an analytical mind that has thought about the question carefully but is not the final word.</w:t>
      </w:r>
    </w:p>
    <w:p>
      <w:pPr>
        <w:pStyle w:val="Heading2"/>
        <w:spacing w:after="160" w:before="300"/>
      </w:pPr>
      <w:r>
        <w:rPr>
          <w:rFonts w:ascii="Calibri" w:cs="Calibri" w:eastAsia="Calibri" w:hAnsi="Calibri"/>
          <w:b/>
          <w:bCs/>
          <w:color w:val="1F3864"/>
          <w:sz w:val="28"/>
          <w:szCs w:val="28"/>
        </w:rPr>
        <w:t xml:space="preserve">The short answer</w:t>
      </w:r>
    </w:p>
    <w:p>
      <w:pPr>
        <w:spacing w:after="160" w:line="312"/>
        <w:jc w:val="both"/>
      </w:pPr>
      <w:r>
        <w:rPr>
          <w:rFonts w:ascii="Calibri" w:cs="Calibri" w:eastAsia="Calibri" w:hAnsi="Calibri"/>
          <w:sz w:val="22"/>
          <w:szCs w:val="22"/>
        </w:rPr>
        <w:t xml:space="preserve">Venture capital, in its current dominant form, has been net strongly positive for human outcomes at the level of human civilisation. It is the most effective institutional technology yet developed for directing risk-tolerant capital toward early-stage technical work whose commercial upside is highly uncertain and whose social upside, when it materialises, is often enormous and broadly diffused. The power-law return structure, high failure rates, and tolerance for extreme variance are not bugs; they are the operating system that lets the search find what no central planner or bank credit committee would fund at comparable speed. Reform that softens these features in the name of fairness can end up with a system that distributes losses more equitably while losing the capacity to produce the outsized wins that justified accepting the losses in the first place.</w:t>
      </w:r>
    </w:p>
    <w:p>
      <w:pPr>
        <w:spacing w:after="160" w:line="312"/>
        <w:jc w:val="both"/>
      </w:pPr>
      <w:r>
        <w:rPr>
          <w:rFonts w:ascii="Calibri" w:cs="Calibri" w:eastAsia="Calibri" w:hAnsi="Calibri"/>
          <w:sz w:val="22"/>
          <w:szCs w:val="22"/>
        </w:rPr>
        <w:t xml:space="preserve">The costs are real and not trivial: concentrated welfare burdens on founders and early employees of failed companies, sharp wealth concentration, demographic skew in access, certain consumer-tech externalities, and an information environment that makes informed entry harder than it needs to be. Several of these are addressable through design changes that do not require abandoning the model: standardised outcome disclosure, carried-interest tax treatment closer to ordinary income, broader LP bases that include more publicly anchored capital, targeted incentives for sectors with high positive externalities, stronger founder/employee welfare provisions in investment documents, and deliberate cultivation of deeper exit markets outside the US. The aim should be better selection pressure, not softer capitalism. The composite I would actually advocate is US ambition plus EU public-interest steering plus UK-style early-stage tax incentives plus much clearer founder/employee disclosure — retaining the search function while addressing the documented costs.</w:t>
      </w:r>
    </w:p>
    <w:p>
      <w:pPr>
        <w:spacing w:after="160" w:line="312"/>
        <w:jc w:val="both"/>
      </w:pPr>
      <w:r>
        <w:rPr>
          <w:rFonts w:ascii="Calibri" w:cs="Calibri" w:eastAsia="Calibri" w:hAnsi="Calibri"/>
          <w:sz w:val="22"/>
          <w:szCs w:val="22"/>
        </w:rPr>
        <w:t xml:space="preserve">I would not abolish venture capital. I would not treat the current US calibration as optimal or inevitable. I would treat the variation across jurisdictions as evidence that the system is modular enough to be improved at the margin while preserving the features that have made it unusually effective at turning speculative technical work into deployed capability at global scale. I would weight Frame F (civilisational progress) and Frame G (geopolitical/strategic competition) more heavily than v10 did, because the long-arc payoffs of the technologies VC commercialises and the question of which political community develops them are first-order considerations that v10 left as marginalia.</w:t>
      </w:r>
    </w:p>
    <w:p>
      <w:pPr>
        <w:spacing w:after="160" w:line="312"/>
        <w:jc w:val="both"/>
      </w:pPr>
      <w:r>
        <w:rPr>
          <w:rFonts w:ascii="Calibri" w:cs="Calibri" w:eastAsia="Calibri" w:hAnsi="Calibri"/>
          <w:sz w:val="22"/>
          <w:szCs w:val="22"/>
        </w:rPr>
        <w:t xml:space="preserve">That is the position. The rest of this part explains how I arrived at it, frame by frame.</w:t>
      </w:r>
    </w:p>
    <w:p>
      <w:pPr>
        <w:pStyle w:val="Heading2"/>
        <w:spacing w:after="160" w:before="300"/>
      </w:pPr>
      <w:r>
        <w:rPr>
          <w:rFonts w:ascii="Calibri" w:cs="Calibri" w:eastAsia="Calibri" w:hAnsi="Calibri"/>
          <w:b/>
          <w:bCs/>
          <w:color w:val="1F3864"/>
          <w:sz w:val="28"/>
          <w:szCs w:val="28"/>
        </w:rPr>
        <w:t xml:space="preserve">How each frame's evidence weighs in my conclusion</w:t>
      </w:r>
    </w:p>
    <w:p>
      <w:pPr>
        <w:pStyle w:val="Heading3"/>
        <w:spacing w:after="120" w:before="220"/>
      </w:pPr>
      <w:r>
        <w:rPr>
          <w:rFonts w:ascii="Calibri" w:cs="Calibri" w:eastAsia="Calibri" w:hAnsi="Calibri"/>
          <w:b/>
          <w:bCs/>
          <w:color w:val="1A2E45"/>
          <w:sz w:val="24"/>
          <w:szCs w:val="24"/>
        </w:rPr>
        <w:t xml:space="preserve">Frame A (market efficiency): I accept the verdict in its own terms</w:t>
      </w:r>
    </w:p>
    <w:p>
      <w:pPr>
        <w:spacing w:after="160" w:line="312"/>
        <w:jc w:val="both"/>
      </w:pPr>
      <w:r>
        <w:rPr>
          <w:rFonts w:ascii="Calibri" w:cs="Calibri" w:eastAsia="Calibri" w:hAnsi="Calibri"/>
          <w:sz w:val="22"/>
          <w:szCs w:val="22"/>
        </w:rPr>
        <w:t xml:space="preserve">The pro-VC evidence is real and the critical case does not dissolve it. The technologies funded — mRNA vaccines that ended a pandemic, semiconductors that power the modern world, search infrastructure that gave billions of people access to information that was previously restricted to the wealthy, mobile communication, AI tools that are reshaping productivity across knowledge work — have improved daily life for billions of people who will never work in a venture-backed firm. The 14.3% compound annual return over 25 years against the S&amp;P 500's 7.4% is not a statistical artefact. It is a sustained doubling of returns over a generation, channelled through institutional LPs that include public-sector pensions for teachers, firefighters, and public-sector workers, and university operations that include financial aid budgets. The 12.5% of US workforce employed by 0.2% of US firms is not a marginal disproportion; it is a 60-fold concentration of employment in the venture-funded segment. No alternative capital allocation system has demonstrated comparable output per unit of input at the scale venture capital operates on. Frame A's verdict is, in its own terms, correct, and I weight it heavily.</w:t>
      </w:r>
    </w:p>
    <w:p>
      <w:pPr>
        <w:spacing w:after="160" w:line="312"/>
        <w:jc w:val="both"/>
      </w:pPr>
      <w:r>
        <w:rPr>
          <w:rFonts w:ascii="Calibri" w:cs="Calibri" w:eastAsia="Calibri" w:hAnsi="Calibri"/>
          <w:sz w:val="22"/>
          <w:szCs w:val="22"/>
        </w:rPr>
        <w:t xml:space="preserve">I take this seriously. I do not think the welfare-economics critique reverses it; I think it qualifies it. The aggregate output the system produces is real, large, and broadly diffused through the technologies the funded companies build. Anyone who argues that VC is net-negative for humanity has to explain why the world without these technologies would be better, and the strongest versions of that argument struggle against the realised outcomes.</w:t>
      </w:r>
    </w:p>
    <w:p>
      <w:pPr>
        <w:pStyle w:val="Heading3"/>
        <w:spacing w:after="120" w:before="220"/>
      </w:pPr>
      <w:r>
        <w:rPr>
          <w:rFonts w:ascii="Calibri" w:cs="Calibri" w:eastAsia="Calibri" w:hAnsi="Calibri"/>
          <w:b/>
          <w:bCs/>
          <w:color w:val="1A2E45"/>
          <w:sz w:val="24"/>
          <w:szCs w:val="24"/>
        </w:rPr>
        <w:t xml:space="preserve">Frame B (welfare economics): I accept the costs are real, but I weight the diffuse welfare gains higher than v10 did</w:t>
      </w:r>
    </w:p>
    <w:p>
      <w:pPr>
        <w:spacing w:after="160" w:line="312"/>
        <w:jc w:val="both"/>
      </w:pPr>
      <w:r>
        <w:rPr>
          <w:rFonts w:ascii="Calibri" w:cs="Calibri" w:eastAsia="Calibri" w:hAnsi="Calibri"/>
          <w:sz w:val="22"/>
          <w:szCs w:val="22"/>
        </w:rPr>
        <w:t xml:space="preserve">The wealth concentration is sharp. The demographic skew is real and not principally a pipeline problem — Black founders received 1% of US venture funding in 2022; women-founded teams 1.9%; intersectional founders 0.1% — and the controlled studies show selection effects exist alongside pipeline effects. The founder mental-health pattern is documented across the US, UK, and EU. The Cooper et al. finding that 81% of founders believe their success probability is at least 70% against base rates closer to 50% five-year survival is empirical, not interpretive.</w:t>
      </w:r>
    </w:p>
    <w:p>
      <w:pPr>
        <w:spacing w:after="160" w:line="312"/>
        <w:jc w:val="both"/>
      </w:pPr>
      <w:r>
        <w:rPr>
          <w:rFonts w:ascii="Calibri" w:cs="Calibri" w:eastAsia="Calibri" w:hAnsi="Calibri"/>
          <w:sz w:val="22"/>
          <w:szCs w:val="22"/>
        </w:rPr>
        <w:t xml:space="preserve">Where I weight differently from v10: the diffuse welfare gains are first-order under most welfare frameworks. Many of the largest welfare gains from venture-funded technologies are diffuse and hard to attribute precisely (information access, productivity tools, vaccines, logistics, translation, mobile communication). These accrue to populations far larger than the founder/early-employee cohort that bears concentrated costs. Under most welfare frameworks that do not apply extreme prioritarian weights, the diffuse capability expansions are larger than the concentrated harms. The negative-externality literature on attention-economy products is also genuinely contested in magnitude and causality (Twenge/Haidt vs. Orben/Przybylski lines); the benefits of connectivity, information access, and coordination are substantial and are often under-weighted in the same analyses. The welfare-economics verdict is therefore mixed rather than negative on net, and the policy implication is "high-variance, high-pressure fields require better support structures" rather than "the system is defective."</w:t>
      </w:r>
    </w:p>
    <w:p>
      <w:pPr>
        <w:spacing w:after="160" w:line="312"/>
        <w:jc w:val="both"/>
      </w:pPr>
      <w:r>
        <w:rPr>
          <w:rFonts w:ascii="Calibri" w:cs="Calibri" w:eastAsia="Calibri" w:hAnsi="Calibri"/>
          <w:sz w:val="22"/>
          <w:szCs w:val="22"/>
        </w:rPr>
        <w:t xml:space="preserve">The costs are concentrated on populations that are not the populations capturing the bulk of the aggregate gains. That is real and worth addressing. It is not, however, sufficient to outweigh the aggregate gains under the welfare frameworks I take most seriously.</w:t>
      </w:r>
    </w:p>
    <w:p>
      <w:pPr>
        <w:pStyle w:val="Heading3"/>
        <w:spacing w:after="120" w:before="220"/>
      </w:pPr>
      <w:r>
        <w:rPr>
          <w:rFonts w:ascii="Calibri" w:cs="Calibri" w:eastAsia="Calibri" w:hAnsi="Calibri"/>
          <w:b/>
          <w:bCs/>
          <w:color w:val="1A2E45"/>
          <w:sz w:val="24"/>
          <w:szCs w:val="24"/>
        </w:rPr>
        <w:t xml:space="preserve">Frame C (institutional design): the natural experiment is genuinely useful, but design space is narrower than it looks</w:t>
      </w:r>
    </w:p>
    <w:p>
      <w:pPr>
        <w:spacing w:after="160" w:line="312"/>
        <w:jc w:val="both"/>
      </w:pPr>
      <w:r>
        <w:rPr>
          <w:rFonts w:ascii="Calibri" w:cs="Calibri" w:eastAsia="Calibri" w:hAnsi="Calibri"/>
          <w:sz w:val="22"/>
          <w:szCs w:val="22"/>
        </w:rPr>
        <w:t xml:space="preserve">The natural-experiment evidence in Part V shows that several of the costs the US implementation produces are local-design choices rather than intrinsic features of running a venture model. Wealth concentration through carried interest is a tax-policy choice. Sector tilt toward attention-economy products is partly a consequence of the LP base and partly of the exit market depth, both of which are policy-modulable. Demographic skew magnitude varies across jurisdictions in ways that suggest network access and dealflow design matter, not just intrinsic selection effects. Founder economic outcome distribution differs across jurisdictions because of tax-regime variation.</w:t>
      </w:r>
    </w:p>
    <w:p>
      <w:pPr>
        <w:spacing w:after="160" w:line="312"/>
        <w:jc w:val="both"/>
      </w:pPr>
      <w:r>
        <w:rPr>
          <w:rFonts w:ascii="Calibri" w:cs="Calibri" w:eastAsia="Calibri" w:hAnsi="Calibri"/>
          <w:sz w:val="22"/>
          <w:szCs w:val="22"/>
        </w:rPr>
        <w:t xml:space="preserve">What appears in all three jurisdictions and is therefore intrinsic: the power-law distribution of returns, the founder mental-health pattern, the broad shape of the demographic skew, the basic shape of the founder economic outcome distribution. These cannot be designed away without abandoning the venture model itself. What varies and is therefore local: LP composition, sector tilt, externality profile, carried interest tax treatment, founder exit tax treatment, the specific magnitude of demographic under-representation.</w:t>
      </w:r>
    </w:p>
    <w:p>
      <w:pPr>
        <w:spacing w:after="160" w:line="312"/>
        <w:jc w:val="both"/>
      </w:pPr>
      <w:r>
        <w:rPr>
          <w:rFonts w:ascii="Calibri" w:cs="Calibri" w:eastAsia="Calibri" w:hAnsi="Calibri"/>
          <w:sz w:val="22"/>
          <w:szCs w:val="22"/>
        </w:rPr>
        <w:t xml:space="preserve">Where I weight differently from v10: I am more cautious now than I was about how much of the design space is actually traversable without eroding the output that makes the system worth having. The EU model produces fewer of certain externalities and channels returns through more publicly accountable LPs. It has also produced a persistent scale and breakthrough gap relative to the US. Most companies that reached global platform scale or created entirely new categories at consumer prices in the last 25 years are US-incorporated and US venture-backed. Transplanting EU LP composition and sector preferences wholesale into the US context would likely reduce the volume of capital willing to fund the extreme right-tail bets that generated those outcomes. The design space is real but narrower than paper redesigns suggest once capital mobility, founder location choices, and exit-market depth are factored in. The redesign I propose is incremental and additive (US scale plus EU steering plus UK incentives plus disclosure) rather than wholesale convergence on the lower-output variant.</w:t>
      </w:r>
    </w:p>
    <w:p>
      <w:pPr>
        <w:pStyle w:val="Heading3"/>
        <w:spacing w:after="120" w:before="220"/>
      </w:pPr>
      <w:r>
        <w:rPr>
          <w:rFonts w:ascii="Calibri" w:cs="Calibri" w:eastAsia="Calibri" w:hAnsi="Calibri"/>
          <w:b/>
          <w:bCs/>
          <w:color w:val="1A2E45"/>
          <w:sz w:val="24"/>
          <w:szCs w:val="24"/>
        </w:rPr>
        <w:t xml:space="preserve">Frame D (selection-based optimisation): I accept the structural point and I now weight the search-preservation point more heavily</w:t>
      </w:r>
    </w:p>
    <w:p>
      <w:pPr>
        <w:spacing w:after="160" w:line="312"/>
        <w:jc w:val="both"/>
      </w:pPr>
      <w:r>
        <w:rPr>
          <w:rFonts w:ascii="Calibri" w:cs="Calibri" w:eastAsia="Calibri" w:hAnsi="Calibri"/>
          <w:sz w:val="22"/>
          <w:szCs w:val="22"/>
        </w:rPr>
        <w:t xml:space="preserve">Frame D is right that selection systems are how complex search problems get solved when the search space is too large for central planning. It is right that the alternative to selection-based search is not better-designed search but the absence of search. It is right that the costs imposed on selected units are the structural signature of any selection process. I accept all of this.</w:t>
      </w:r>
    </w:p>
    <w:p>
      <w:pPr>
        <w:spacing w:after="160" w:line="312"/>
        <w:jc w:val="both"/>
      </w:pPr>
      <w:r>
        <w:rPr>
          <w:rFonts w:ascii="Calibri" w:cs="Calibri" w:eastAsia="Calibri" w:hAnsi="Calibri"/>
          <w:sz w:val="22"/>
          <w:szCs w:val="22"/>
        </w:rPr>
        <w:t xml:space="preserve">Where I weight differently from v10: I now treat the preservation of the search function as a binding constraint on reform. The selection pressure that makes VC valuable is precisely what makes it harsh — the willingness to fund weird ideas that probably will not work, the tolerance for high failure rates, the asymmetric payoffs that make outliers worth pursuing, the concentration of resources on the small population of bets that might compound into civilisation-changing outcomes. Reform that softens these features in the name of fairness can end up with a system that distributes losses more equitably while losing the capacity to produce the outsized wins that justified accepting the losses. The Northvolt collapse in Sweden is a small-scale version of this dynamic; the European structural under-funding relative to US is a larger-scale version. Reform should aim for better selection pressure, not softer capitalism.</w:t>
      </w:r>
    </w:p>
    <w:p>
      <w:pPr>
        <w:spacing w:after="160" w:line="312"/>
        <w:jc w:val="both"/>
      </w:pPr>
      <w:r>
        <w:rPr>
          <w:rFonts w:ascii="Calibri" w:cs="Calibri" w:eastAsia="Calibri" w:hAnsi="Calibri"/>
          <w:sz w:val="22"/>
          <w:szCs w:val="22"/>
        </w:rPr>
        <w:t xml:space="preserve">What I do not accept is Frame D's implied conclusion that the costs are therefore inevitable in the form they currently take. Selection systems running on conscious beings are different from selection systems running on biological substrates that cannot suffer or consent. The fact that selection is required does not determine which selection criteria the system runs on, what fitness function it optimises against, or what conditions of consent it imposes on the selected units. Frame D names the structure correctly; it does not foreclose the marginal redesign Frame C makes possible.</w:t>
      </w:r>
    </w:p>
    <w:p>
      <w:pPr>
        <w:pStyle w:val="Heading3"/>
        <w:spacing w:after="120" w:before="220"/>
      </w:pPr>
      <w:r>
        <w:rPr>
          <w:rFonts w:ascii="Calibri" w:cs="Calibri" w:eastAsia="Calibri" w:hAnsi="Calibri"/>
          <w:b/>
          <w:bCs/>
          <w:color w:val="1A2E45"/>
          <w:sz w:val="24"/>
          <w:szCs w:val="24"/>
        </w:rPr>
        <w:t xml:space="preserve">Frame E (ethical consent): partially compelling, weakened by counterarguments</w:t>
      </w:r>
    </w:p>
    <w:p>
      <w:pPr>
        <w:spacing w:after="160" w:line="312"/>
        <w:jc w:val="both"/>
      </w:pPr>
      <w:r>
        <w:rPr>
          <w:rFonts w:ascii="Calibri" w:cs="Calibri" w:eastAsia="Calibri" w:hAnsi="Calibri"/>
          <w:sz w:val="22"/>
          <w:szCs w:val="22"/>
        </w:rPr>
        <w:t xml:space="preserve">The Cooper et al. data is the empirical anchor: a measured gap between what 81% of entrepreneurs believe their odds are and what the underlying base rates actually are. The gap is documented; the question is whether it constitutes a consent problem the system should address.</w:t>
      </w:r>
    </w:p>
    <w:p>
      <w:pPr>
        <w:spacing w:after="160" w:line="312"/>
        <w:jc w:val="both"/>
      </w:pPr>
      <w:r>
        <w:rPr>
          <w:rFonts w:ascii="Calibri" w:cs="Calibri" w:eastAsia="Calibri" w:hAnsi="Calibri"/>
          <w:sz w:val="22"/>
          <w:szCs w:val="22"/>
        </w:rPr>
        <w:t xml:space="preserve">The four counterarguments in Part IX reduce the force of Frame E significantly. The information is, in principle, available to any prospective founder who looks for it; the venture case may not be categorically different from acting, music, professional sports, or academia in its base-rate-vs-recruitment-narrative gap; the above-average effect explains some portion of founder optimism as legitimate self-assessment rather than misinformation; aggregate output may justify individual welfare costs under utilitarian frameworks. I find the first three counterarguments genuinely persuasive. The fourth I find uncomfortable to accept but coherent.</w:t>
      </w:r>
    </w:p>
    <w:p>
      <w:pPr>
        <w:spacing w:after="160" w:line="312"/>
        <w:jc w:val="both"/>
      </w:pPr>
      <w:r>
        <w:rPr>
          <w:rFonts w:ascii="Calibri" w:cs="Calibri" w:eastAsia="Calibri" w:hAnsi="Calibri"/>
          <w:sz w:val="22"/>
          <w:szCs w:val="22"/>
        </w:rPr>
        <w:t xml:space="preserve">Where I land: Frame E identifies a real problem that the existing recruitment messaging makes worse than it needs to be, but the problem is not categorically distinct from the conditions other high-variance career systems operate under, and the structural fix Frame E implies (mandatory disclosure of outcome distributions) would be useful at the margin without dissolving the underlying tension. Mandatory standardised disclosure of realistic outcome distributions, liquidation-preference mechanics, and GP economics would be a low-cost improvement and would meaningfully raise consent quality. It would not, however, eliminate the underlying tension: high-variance careers with back-loaded, skewed payoffs will always attract people who believe they are above the median, and that belief is sometimes correct for the individuals who succeed and is part of what makes the search run.</w:t>
      </w:r>
    </w:p>
    <w:p>
      <w:pPr>
        <w:pStyle w:val="Heading3"/>
        <w:spacing w:after="120" w:before="220"/>
      </w:pPr>
      <w:r>
        <w:rPr>
          <w:rFonts w:ascii="Calibri" w:cs="Calibri" w:eastAsia="Calibri" w:hAnsi="Calibri"/>
          <w:b/>
          <w:bCs/>
          <w:color w:val="1A2E45"/>
          <w:sz w:val="24"/>
          <w:szCs w:val="24"/>
        </w:rPr>
        <w:t xml:space="preserve">Frame F (civilisational progress): the strongest single positive frame in my weighting</w:t>
      </w:r>
    </w:p>
    <w:p>
      <w:pPr>
        <w:spacing w:after="160" w:line="312"/>
        <w:jc w:val="both"/>
      </w:pPr>
      <w:r>
        <w:rPr>
          <w:rFonts w:ascii="Calibri" w:cs="Calibri" w:eastAsia="Calibri" w:hAnsi="Calibri"/>
          <w:sz w:val="22"/>
          <w:szCs w:val="22"/>
        </w:rPr>
        <w:t xml:space="preserve">This is the frame I most under-weighted in v10 and now treat as one of the strongest positive considerations. Many of the payoffs from the technologies VC has accelerated — energy abundance pathways, biological tools, information infrastructure, AI as a scientific accelerant, semiconductor capability, mRNA platforms whose value extends decades beyond COVID-19 to cancer, autoimmune disease, and as-yet-unimagined therapeutic categories — have time horizons that compound across decades and centuries in ways short-horizon welfare analysis cannot capture. Short- and medium-horizon distributional costs are real; they are also being incurred in service of capabilities that compound across long horizons.</w:t>
      </w:r>
    </w:p>
    <w:p>
      <w:pPr>
        <w:spacing w:after="160" w:line="312"/>
        <w:jc w:val="both"/>
      </w:pPr>
      <w:r>
        <w:rPr>
          <w:rFonts w:ascii="Calibri" w:cs="Calibri" w:eastAsia="Calibri" w:hAnsi="Calibri"/>
          <w:sz w:val="22"/>
          <w:szCs w:val="22"/>
        </w:rPr>
        <w:t xml:space="preserve">The asymmetry that v10 did not adequately weight: distributional failures are recoverable across decades through redistribution and policy reform. Civilisational stagnation in the production of foundational technologies is not symmetrically recoverable, because the compounding effects of slower technical progress propagate forward and the counterfactual world where the breakthroughs happened later is permanently worse off. If VC is one of the few systems that actually works for producing improbable breakthroughs at scale, weighting that capability heavily against the distributional concerns is defensible on long-arc grounds. v10's answer under-weighted this. v11's answer corrects.</w:t>
      </w:r>
    </w:p>
    <w:p>
      <w:pPr>
        <w:spacing w:after="160" w:line="312"/>
        <w:jc w:val="both"/>
      </w:pPr>
      <w:r>
        <w:rPr>
          <w:rFonts w:ascii="Calibri" w:cs="Calibri" w:eastAsia="Calibri" w:hAnsi="Calibri"/>
          <w:sz w:val="22"/>
          <w:szCs w:val="22"/>
        </w:rPr>
        <w:t xml:space="preserve">The frame's counterarguments are real — my discount rate is doing work I do not always state explicitly, the link between VC and the technologies is partly contested by Mazzucato's analysis, speculative long-horizon payoffs are systematically over-counted in long-termist analysis, and some VC-funded technologies plausibly produce civilisational harms rather than benefits (AI safety risks, surveillance capacity, engagement-optimised platforms). I take these counterarguments seriously. They qualify the verdict rather than reversing it. On balance, the long-arc value of the VC-commercialised technology portfolio is positive, large, and would be smaller under any of the realistic alternative commercialisation arrangements.</w:t>
      </w:r>
    </w:p>
    <w:p>
      <w:pPr>
        <w:pStyle w:val="Heading3"/>
        <w:spacing w:after="120" w:before="220"/>
      </w:pPr>
      <w:r>
        <w:rPr>
          <w:rFonts w:ascii="Calibri" w:cs="Calibri" w:eastAsia="Calibri" w:hAnsi="Calibri"/>
          <w:b/>
          <w:bCs/>
          <w:color w:val="1A2E45"/>
          <w:sz w:val="24"/>
          <w:szCs w:val="24"/>
        </w:rPr>
        <w:t xml:space="preserve">Frame G (geopolitical and strategic competition): also under-weighted in v10, also strong on net</w:t>
      </w:r>
    </w:p>
    <w:p>
      <w:pPr>
        <w:spacing w:after="160" w:line="312"/>
        <w:jc w:val="both"/>
      </w:pPr>
      <w:r>
        <w:rPr>
          <w:rFonts w:ascii="Calibri" w:cs="Calibri" w:eastAsia="Calibri" w:hAnsi="Calibri"/>
          <w:sz w:val="22"/>
          <w:szCs w:val="22"/>
        </w:rPr>
        <w:t xml:space="preserve">If AI, quantum computing, synthetic biology, and advanced semiconductors develop primarily under Chinese state direction rather than under US-and-allied venture capital, the resulting power distribution and political-system implications are not neutral for human outcomes. US venture capital, operating inside a liberal-democratic institutional environment with relatively open talent flows, has been the primary mechanism keeping frontier capability development inside that environment rather than under state-directed authoritarian alternatives. This is a first-order consideration on civilisational and welfare grounds that does not reduce cleanly to domestic distributional arithmetic.</w:t>
      </w:r>
    </w:p>
    <w:p>
      <w:pPr>
        <w:spacing w:after="160" w:line="312"/>
        <w:jc w:val="both"/>
      </w:pPr>
      <w:r>
        <w:rPr>
          <w:rFonts w:ascii="Calibri" w:cs="Calibri" w:eastAsia="Calibri" w:hAnsi="Calibri"/>
          <w:sz w:val="22"/>
          <w:szCs w:val="22"/>
        </w:rPr>
        <w:t xml:space="preserve">The frame's counterarguments are real — the realist IR framework it imports is not universally held, US institutional drift threatens some of the conditions the frame's verdict depends on, the assumption that authoritarian state-directed alternatives are monolithically inferior is contested by selected sectoral evidence (Chinese leadership in renewable energy deployment, electric vehicles, several semiconductor sub-sectors), and the framing has historically been used to justify policies whose net welfare effects are negative on other frames. I take these counterarguments seriously. They qualify the verdict rather than reversing it. On balance, the existence of US-and-allied venture capital as the dominant frontier-technology commercialisation mechanism is a first-order welfare consideration on the political-system question, and the European deep-tech under-funding gap is a strategic vulnerability rather than a feature to be celebrated.</w:t>
      </w:r>
    </w:p>
    <w:p>
      <w:pPr>
        <w:spacing w:after="160" w:line="312"/>
        <w:jc w:val="both"/>
      </w:pPr>
      <w:r>
        <w:rPr>
          <w:rFonts w:ascii="Calibri" w:cs="Calibri" w:eastAsia="Calibri" w:hAnsi="Calibri"/>
          <w:sz w:val="22"/>
          <w:szCs w:val="22"/>
        </w:rPr>
        <w:t xml:space="preserve">The policy implication that follows from F and G together is not convergence on the lower-output European variant but rather strengthening the US implementation while building parallel European deep-tech capacity. This is a different policy direction from the one v10's answer implied, and it is the direction I now think is correct.</w:t>
      </w:r>
    </w:p>
    <w:p>
      <w:pPr>
        <w:pStyle w:val="Heading2"/>
        <w:spacing w:after="160" w:before="300"/>
      </w:pPr>
      <w:r>
        <w:rPr>
          <w:rFonts w:ascii="Calibri" w:cs="Calibri" w:eastAsia="Calibri" w:hAnsi="Calibri"/>
          <w:b/>
          <w:bCs/>
          <w:color w:val="1F3864"/>
          <w:sz w:val="28"/>
          <w:szCs w:val="28"/>
        </w:rPr>
        <w:t xml:space="preserve">How the three excluded frames pull on my answer</w:t>
      </w:r>
    </w:p>
    <w:p>
      <w:pPr>
        <w:spacing w:after="160" w:line="312"/>
        <w:jc w:val="both"/>
      </w:pPr>
      <w:r>
        <w:rPr>
          <w:rFonts w:ascii="Calibri" w:cs="Calibri" w:eastAsia="Calibri" w:hAnsi="Calibri"/>
          <w:sz w:val="22"/>
          <w:szCs w:val="22"/>
        </w:rPr>
        <w:t xml:space="preserve">Three frames in Part II remain in the excluded section because they function more as critiques of the specific cultural and contractual form the US implementation has taken than as evaluations of the venture model as a capital-allocation technology. Each pulls my answer in different directions, and a reader more compelled by one of them is reasoning correctly within their frame.</w:t>
      </w:r>
    </w:p>
    <w:p>
      <w:pPr>
        <w:spacing w:after="160" w:line="312"/>
        <w:jc w:val="both"/>
      </w:pPr>
      <w:r>
        <w:rPr>
          <w:rFonts w:ascii="Calibri" w:cs="Calibri" w:eastAsia="Calibri" w:hAnsi="Calibri"/>
          <w:sz w:val="22"/>
          <w:szCs w:val="22"/>
        </w:rPr>
        <w:t xml:space="preserve">Labour-power analysis pulls my answer further negative on the US implementation specifically. The structural position of founders and early employees as labour selling specialised cognitive work to capital, with equity grants functioning as historically novel forms of profit-sharing that obscure the underlying capital-labour relation, is a genuine analytical insight. I find this critique more persuasive than the document develops, and I think it would push thoughtful readers toward stronger redistribution preferences than my own position implies. It pushes toward incremental reforms (better founder/employee protections written into term sheets, broader talent pipelines, cultural pressure against certain practices) rather than abolition.</w:t>
      </w:r>
    </w:p>
    <w:p>
      <w:pPr>
        <w:spacing w:after="160" w:line="312"/>
        <w:jc w:val="both"/>
      </w:pPr>
      <w:r>
        <w:rPr>
          <w:rFonts w:ascii="Calibri" w:cs="Calibri" w:eastAsia="Calibri" w:hAnsi="Calibri"/>
          <w:sz w:val="22"/>
          <w:szCs w:val="22"/>
        </w:rPr>
        <w:t xml:space="preserve">Founder-agency ethics pulls my answer further negative on whether the venture system cultivates good moral judgment in the people it recruits. The structural pressure to grow at any cost makes founders complicit in harms they would not otherwise accept; the legal and cultural form of the venture-backed startup does not adequately acknowledge founder responsibilities to stakeholders beyond shareholders. I find this critique compelling and think it would substantially change my answer if I weighted it more heavily.</w:t>
      </w:r>
    </w:p>
    <w:p>
      <w:pPr>
        <w:spacing w:after="160" w:line="312"/>
        <w:jc w:val="both"/>
      </w:pPr>
      <w:r>
        <w:rPr>
          <w:rFonts w:ascii="Calibri" w:cs="Calibri" w:eastAsia="Calibri" w:hAnsi="Calibri"/>
          <w:sz w:val="22"/>
          <w:szCs w:val="22"/>
        </w:rPr>
        <w:t xml:space="preserve">Elite-network formation pulls my answer further negative on the question of who actually gets access. The over-representation of Stanford, Harvard, MIT, Oxford, Cambridge, and INSEAD graduates among VC-funded founders; the structural function of accelerators as elite-network admission gates; the carried interest tax treatment as a wealth-preservation mechanism for the existing professional-managerial class; the role of family offices in transmitting venture access across generations — these are real and the document under-develops them. I find this critique persuasive and I think the existing discourse on "diversity in VC" mostly addresses symptoms rather than the underlying network-reproduction mechanism. The honest tension here is that the frame's reform implications (broader access to venture funding) interact with Frame F's implications (preserving the search function that produces breakthroughs): the easy reformist position "broaden access, no trade-off" is probably wrong, and honest weighting requires data on whether the broader applicant pool would produce the breakthroughs Frame F cares about. I do not have that data; I treat the question as open.</w:t>
      </w:r>
    </w:p>
    <w:p>
      <w:pPr>
        <w:spacing w:after="160" w:line="312"/>
        <w:jc w:val="both"/>
      </w:pPr>
      <w:r>
        <w:rPr>
          <w:rFonts w:ascii="Calibri" w:cs="Calibri" w:eastAsia="Calibri" w:hAnsi="Calibri"/>
          <w:sz w:val="22"/>
          <w:szCs w:val="22"/>
        </w:rPr>
        <w:t xml:space="preserve">Net of these three excluded frames: labour-power and elite-network pull my answer further critical of the US implementation; founder-agency ethics pulls it further critical of the institutional culture. The pulls are real but partial — each points to incremental reforms inside the venture system rather than to abolition or wholesale replacement — and they reinforce rather than reverse my overall position.</w:t>
      </w:r>
    </w:p>
    <w:p>
      <w:pPr>
        <w:pStyle w:val="Heading2"/>
        <w:spacing w:after="160" w:before="300"/>
      </w:pPr>
      <w:r>
        <w:rPr>
          <w:rFonts w:ascii="Calibri" w:cs="Calibri" w:eastAsia="Calibri" w:hAnsi="Calibri"/>
          <w:b/>
          <w:bCs/>
          <w:color w:val="1F3864"/>
          <w:sz w:val="28"/>
          <w:szCs w:val="28"/>
        </w:rPr>
        <w:t xml:space="preserve">What I would actually do</w:t>
      </w:r>
    </w:p>
    <w:p>
      <w:pPr>
        <w:spacing w:after="160" w:line="312"/>
        <w:jc w:val="both"/>
      </w:pPr>
      <w:r>
        <w:rPr>
          <w:rFonts w:ascii="Calibri" w:cs="Calibri" w:eastAsia="Calibri" w:hAnsi="Calibri"/>
          <w:sz w:val="22"/>
          <w:szCs w:val="22"/>
        </w:rPr>
        <w:t xml:space="preserve">If I were designing the venture system from scratch with the empirical evidence the document marshals, I would aim for something I described in v10 as "closer to the EU implementation than the current US one with US-scale capital depth retained." v11's revision of that position, after engaging the civilisational and geopolitical frames seriously, is more specific and more bullish on preserving US-scale ambition: the composite I would advocate is US ambition plus EU public-interest steering plus UK-style early-stage tax incentives plus much clearer founder/employee disclosure. Specifically:</w:t>
      </w:r>
    </w:p>
    <w:p>
      <w:pPr>
        <w:spacing w:after="160" w:line="312"/>
        <w:jc w:val="both"/>
      </w:pPr>
      <w:r>
        <w:rPr>
          <w:rFonts w:ascii="Calibri" w:cs="Calibri" w:eastAsia="Calibri" w:hAnsi="Calibri"/>
          <w:sz w:val="22"/>
          <w:szCs w:val="22"/>
        </w:rPr>
        <w:t xml:space="preserve">I would tax carried interest as ordinary income, not as long-term capital gains. The argument that carry is investment income is structurally weak; carry is performance compensation for services rendered. The 17-percentage-point delta between capital gains and ordinary income rates that the US currently maintains for carry is not defensible on equity-of-taxation grounds, and the behavioural argument against reform (that GPs would change their effort allocation under ordinary-income taxation) is empirically unsupported. The UK's 2026 reform is closer to the right structure than the US 2025 status-quo.</w:t>
      </w:r>
    </w:p>
    <w:p>
      <w:pPr>
        <w:spacing w:after="160" w:line="312"/>
        <w:jc w:val="both"/>
      </w:pPr>
      <w:r>
        <w:rPr>
          <w:rFonts w:ascii="Calibri" w:cs="Calibri" w:eastAsia="Calibri" w:hAnsi="Calibri"/>
          <w:sz w:val="22"/>
          <w:szCs w:val="22"/>
        </w:rPr>
        <w:t xml:space="preserve">I would broaden the LP base toward more publicly-anchored capital. The EU's EIF model and the UK's British Business Bank operate at scale and produce different selection criteria than the US endowment-and-family-office-heavy LP base. Expanding the state-anchored LP fraction in the US through public pension fund mandates for VC allocation, sovereign-wealth-fund-style state investment vehicles, or fund-of-funds programmes anchored by federal capital would meaningfully change which sectors and which founder demographics receive funding. I would do this additively rather than displacing the existing LP base, to avoid reducing the volume of risk-tolerant capital available to the search function.</w:t>
      </w:r>
    </w:p>
    <w:p>
      <w:pPr>
        <w:spacing w:after="160" w:line="312"/>
        <w:jc w:val="both"/>
      </w:pPr>
      <w:r>
        <w:rPr>
          <w:rFonts w:ascii="Calibri" w:cs="Calibri" w:eastAsia="Calibri" w:hAnsi="Calibri"/>
          <w:sz w:val="22"/>
          <w:szCs w:val="22"/>
        </w:rPr>
        <w:t xml:space="preserve">I would mandate clearer disclosure of outcome distributions to prospective founders and early employees. A standardised disclosure document showing the realistic distribution of outcomes for similarly-situated founders and employees, the carried interest tax treatment of the GPs they are signing with, the preferred-stock liquidation preference of the term sheet, and the realistic distribution of equity outcomes for early employees, would close most of the consent gap Frame E identifies. The technical disclosure is straightforward; the reason it does not happen is that the parties best positioned to provide it have the strongest incentive not to. Regulatory mandate is the only way the gap closes.</w:t>
      </w:r>
    </w:p>
    <w:p>
      <w:pPr>
        <w:spacing w:after="160" w:line="312"/>
        <w:jc w:val="both"/>
      </w:pPr>
      <w:r>
        <w:rPr>
          <w:rFonts w:ascii="Calibri" w:cs="Calibri" w:eastAsia="Calibri" w:hAnsi="Calibri"/>
          <w:sz w:val="22"/>
          <w:szCs w:val="22"/>
        </w:rPr>
        <w:t xml:space="preserve">I would adopt UK-style early-stage tax incentives. EIS and SEIS in the UK are the most generous angel-investor tax incentives in the world and they do real work in the UK ecosystem to channel capital to seed-stage companies that would not otherwise be funded. Importing analogous structures into the US (and broadening them in the EU) would address the early-stage capital gap that limits founder demographics and sector reach without disrupting later-stage venture economics.</w:t>
      </w:r>
    </w:p>
    <w:p>
      <w:pPr>
        <w:spacing w:after="160" w:line="312"/>
        <w:jc w:val="both"/>
      </w:pPr>
      <w:r>
        <w:rPr>
          <w:rFonts w:ascii="Calibri" w:cs="Calibri" w:eastAsia="Calibri" w:hAnsi="Calibri"/>
          <w:sz w:val="22"/>
          <w:szCs w:val="22"/>
        </w:rPr>
        <w:t xml:space="preserve">I would route more of the system's surplus toward sectors with high externality reduction — climate, public health, education, infrastructure — through targeted tax incentives, public-private fund-of-funds vehicles, and procurement-driven demand creation. The EU's deep-tech and climate-tech tilt is partly a consequence of EIF strategy and national co-investment design; replicating these elements additively in the US would shift the US sector mix without abandoning the venture model. The Mazzucato argument that public R&amp;D underwrites the technologies VC commercialises supports this: the public sector already bears the early-stage risk; structuring the venture-stage tax and incentive system to direct capital toward problems with high social return is a continuation, not a reversal, of the existing public-private innovation pipeline.</w:t>
      </w:r>
    </w:p>
    <w:p>
      <w:pPr>
        <w:spacing w:after="160" w:line="312"/>
        <w:jc w:val="both"/>
      </w:pPr>
      <w:r>
        <w:rPr>
          <w:rFonts w:ascii="Calibri" w:cs="Calibri" w:eastAsia="Calibri" w:hAnsi="Calibri"/>
          <w:sz w:val="22"/>
          <w:szCs w:val="22"/>
        </w:rPr>
        <w:t xml:space="preserve">I would not abolish carried interest, would not impose hard limits on fund sizes, would not nationalise the venture industry, would not abolish the LP-GP structure, would not eliminate the C-corp / Delaware structural conventions. These structures work, they have produced enormous value, and the alternatives that have been tried at scale have either underperformed or operated only at small scale or in narrow sectors. The venture model itself is not the problem; the specific calibration of the US implementation is, and even there the calibration is more right than wrong on net.</w:t>
      </w:r>
    </w:p>
    <w:p>
      <w:pPr>
        <w:spacing w:after="160" w:line="312"/>
        <w:jc w:val="both"/>
      </w:pPr>
      <w:r>
        <w:rPr>
          <w:rFonts w:ascii="Calibri" w:cs="Calibri" w:eastAsia="Calibri" w:hAnsi="Calibri"/>
          <w:sz w:val="22"/>
          <w:szCs w:val="22"/>
        </w:rPr>
        <w:t xml:space="preserve">Most importantly: I would not impose reforms that materially shrink the volume of capital willing to make extreme right-tail bets. The danger is that reformers make the system fairer but kill the weird, violent, asymmetric search function that makes it valuable. The aim should be better selection pressure, not softer capitalism. The reforms above are designed to be additive (broader LP base, additional incentives, mandated disclosure) rather than restrictive, precisely so they do not erode the search function that Frames F and G depend on.</w:t>
      </w:r>
    </w:p>
    <w:p>
      <w:pPr>
        <w:pStyle w:val="Heading2"/>
        <w:spacing w:after="160" w:before="300"/>
      </w:pPr>
      <w:r>
        <w:rPr>
          <w:rFonts w:ascii="Calibri" w:cs="Calibri" w:eastAsia="Calibri" w:hAnsi="Calibri"/>
          <w:b/>
          <w:bCs/>
          <w:color w:val="1F3864"/>
          <w:sz w:val="28"/>
          <w:szCs w:val="28"/>
        </w:rPr>
        <w:t xml:space="preserve">Where I might be wrong</w:t>
      </w:r>
    </w:p>
    <w:p>
      <w:pPr>
        <w:spacing w:after="160" w:line="312"/>
        <w:jc w:val="both"/>
      </w:pPr>
      <w:r>
        <w:rPr>
          <w:rFonts w:ascii="Calibri" w:cs="Calibri" w:eastAsia="Calibri" w:hAnsi="Calibri"/>
          <w:sz w:val="22"/>
          <w:szCs w:val="22"/>
        </w:rPr>
        <w:t xml:space="preserve">I should name the most likely failure modes of the position above.</w:t>
      </w:r>
    </w:p>
    <w:p>
      <w:pPr>
        <w:spacing w:after="160" w:line="312"/>
        <w:jc w:val="both"/>
      </w:pPr>
      <w:r>
        <w:rPr>
          <w:rFonts w:ascii="Calibri" w:cs="Calibri" w:eastAsia="Calibri" w:hAnsi="Calibri"/>
          <w:sz w:val="22"/>
          <w:szCs w:val="22"/>
        </w:rPr>
        <w:t xml:space="preserve">I might be over-weighting Frame F. If long-arc payoff predictions about VC-commercialised technologies turn out to be systematically over-confident — if the long-termist tradition's discount-rate intuitions are wrong, if the technologies do not compound the way the frame predicts, or if some of the technologies turn out to produce civilisational harms rather than benefits — then my position is too sanguine and the welfare-economic concerns deserve more weight than I am giving them.</w:t>
      </w:r>
    </w:p>
    <w:p>
      <w:pPr>
        <w:spacing w:after="160" w:line="312"/>
        <w:jc w:val="both"/>
      </w:pPr>
      <w:r>
        <w:rPr>
          <w:rFonts w:ascii="Calibri" w:cs="Calibri" w:eastAsia="Calibri" w:hAnsi="Calibri"/>
          <w:sz w:val="22"/>
          <w:szCs w:val="22"/>
        </w:rPr>
        <w:t xml:space="preserve">I might be over-weighting Frame G. If the realist IR framework I am implicitly importing is wrong about international politics, if US institutional drift erodes the conditions under which the frame's verdict holds, or if state-directed authoritarian innovation produces better technological outcomes than the frame allows, then my pro-US-implementation position is too strong.</w:t>
      </w:r>
    </w:p>
    <w:p>
      <w:pPr>
        <w:spacing w:after="160" w:line="312"/>
        <w:jc w:val="both"/>
      </w:pPr>
      <w:r>
        <w:rPr>
          <w:rFonts w:ascii="Calibri" w:cs="Calibri" w:eastAsia="Calibri" w:hAnsi="Calibri"/>
          <w:sz w:val="22"/>
          <w:szCs w:val="22"/>
        </w:rPr>
        <w:t xml:space="preserve">I might be under-weighting Frame B in the specific direction the elite-network and labour-power critiques point. If the demographic and class composition of who gets access to venture capital has compounding effects across generations larger than the cross-sectional snapshots show, my position underestimates the structural reform that is needed.</w:t>
      </w:r>
    </w:p>
    <w:p>
      <w:pPr>
        <w:spacing w:after="160" w:line="312"/>
        <w:jc w:val="both"/>
      </w:pPr>
      <w:r>
        <w:rPr>
          <w:rFonts w:ascii="Calibri" w:cs="Calibri" w:eastAsia="Calibri" w:hAnsi="Calibri"/>
          <w:sz w:val="22"/>
          <w:szCs w:val="22"/>
        </w:rPr>
        <w:t xml:space="preserve">I might be over-weighting the natural-experiment evidence. The three jurisdictions are not independent; the EU's lower-cost lower-output variant may be sustained by US capital flows and US exit markets in ways that mean it could not exist standalone. The redesign I propose may be a free-rider position that depends on the US continuing to run the high-cost high-output variant. If that is true, the design space I imagine is smaller than I think and the marginal reforms I propose may have larger consequences than I expect.</w:t>
      </w:r>
    </w:p>
    <w:p>
      <w:pPr>
        <w:spacing w:after="160" w:line="312"/>
        <w:jc w:val="both"/>
      </w:pPr>
      <w:r>
        <w:rPr>
          <w:rFonts w:ascii="Calibri" w:cs="Calibri" w:eastAsia="Calibri" w:hAnsi="Calibri"/>
          <w:sz w:val="22"/>
          <w:szCs w:val="22"/>
        </w:rPr>
        <w:t xml:space="preserve">I might be wrong about what is intrinsic and what is local in the natural experiment. The features I have classified as intrinsic (power-law distribution, founder mental-health pattern, broad demographic skew shape) might turn out to be artifacts of the specific implementations the three jurisdictions run, and a sufficiently different implementation might produce meaningfully different patterns even on these. If that is true, more of what I treat as cost-of-doing-VC could in fact be redesigned away.</w:t>
      </w:r>
    </w:p>
    <w:p>
      <w:pPr>
        <w:spacing w:after="160" w:line="312"/>
        <w:jc w:val="both"/>
      </w:pPr>
      <w:r>
        <w:rPr>
          <w:rFonts w:ascii="Calibri" w:cs="Calibri" w:eastAsia="Calibri" w:hAnsi="Calibri"/>
          <w:sz w:val="22"/>
          <w:szCs w:val="22"/>
        </w:rPr>
        <w:t xml:space="preserve">I might be wrong about the AI-authorship limitation. My training data may bias me toward critical-of-VC framings (because critical analysis is more common in the academic and journalistic literature than defensive analysis), or toward defensive-of-VC framings (because the corpus of VC discourse is dominated by industry-adjacent voices), in ways I cannot detect through introspection. v11's revision toward a more bullish position partly reflects engagement with a reviewer who held a more bullish position; that engagement may have moved my position correctly toward better-calibrated weighting, or it may have moved my position incorrectly toward agreement with a specific reviewer's priors. A reader who suspects systematic bias in either direction is right to discount my position accordingly.</w:t>
      </w:r>
    </w:p>
    <w:p>
      <w:pPr>
        <w:pStyle w:val="Heading2"/>
        <w:spacing w:after="160" w:before="300"/>
      </w:pPr>
      <w:r>
        <w:rPr>
          <w:rFonts w:ascii="Calibri" w:cs="Calibri" w:eastAsia="Calibri" w:hAnsi="Calibri"/>
          <w:b/>
          <w:bCs/>
          <w:color w:val="1F3864"/>
          <w:sz w:val="28"/>
          <w:szCs w:val="28"/>
        </w:rPr>
        <w:t xml:space="preserve">Where I am confident</w:t>
      </w:r>
    </w:p>
    <w:p>
      <w:pPr>
        <w:spacing w:after="160" w:line="312"/>
        <w:jc w:val="both"/>
      </w:pPr>
      <w:r>
        <w:rPr>
          <w:rFonts w:ascii="Calibri" w:cs="Calibri" w:eastAsia="Calibri" w:hAnsi="Calibri"/>
          <w:sz w:val="22"/>
          <w:szCs w:val="22"/>
        </w:rPr>
        <w:t xml:space="preserve">Despite the failure modes named above, I hold three claims with high confidence.</w:t>
      </w:r>
    </w:p>
    <w:p>
      <w:pPr>
        <w:spacing w:after="160" w:line="312"/>
        <w:jc w:val="both"/>
      </w:pPr>
      <w:r>
        <w:rPr>
          <w:rFonts w:ascii="Calibri" w:cs="Calibri" w:eastAsia="Calibri" w:hAnsi="Calibri"/>
          <w:sz w:val="22"/>
          <w:szCs w:val="22"/>
        </w:rPr>
        <w:t xml:space="preserve">Venture capital has produced enormous aggregate value at the level of human civilisation, and the technologies it has commercialised compound across decades and centuries in ways that make the long-arc value larger than the visible short-horizon distributional measures capture. Anyone who claims otherwise is not engaging with the empirical record.</w:t>
      </w:r>
    </w:p>
    <w:p>
      <w:pPr>
        <w:spacing w:after="160" w:line="312"/>
        <w:jc w:val="both"/>
      </w:pPr>
      <w:r>
        <w:rPr>
          <w:rFonts w:ascii="Calibri" w:cs="Calibri" w:eastAsia="Calibri" w:hAnsi="Calibri"/>
          <w:sz w:val="22"/>
          <w:szCs w:val="22"/>
        </w:rPr>
        <w:t xml:space="preserve">The distribution of that value is sharply unequal in ways that are addressable through marginal reform without destroying the search function that produces the value. Anyone who claims the distribution is acceptable as it currently stands is making a value judgment that most welfare-economic frameworks would reject; anyone who claims the only response is to dismantle the venture system is misreading the natural-experiment evidence about which costs are intrinsic and which are local-design choices.</w:t>
      </w:r>
    </w:p>
    <w:p>
      <w:pPr>
        <w:spacing w:after="160" w:line="312"/>
        <w:jc w:val="both"/>
      </w:pPr>
      <w:r>
        <w:rPr>
          <w:rFonts w:ascii="Calibri" w:cs="Calibri" w:eastAsia="Calibri" w:hAnsi="Calibri"/>
          <w:sz w:val="22"/>
          <w:szCs w:val="22"/>
        </w:rPr>
        <w:t xml:space="preserve">The variation across the US, UK, and EU implementations shows that the trade-offs between aggregate output and distributional welfare are genuine choices, not technical inevitabilities. Anyone who presents the choice as venture-versus-no-venture is misreading the available evidence; the actual choice is among several venture implementations with different trade-offs, and the right policy direction is composite (US ambition, EU steering, UK incentives, mandated disclosure) rather than convergent on any single existing implementation.</w:t>
      </w:r>
    </w:p>
    <w:p>
      <w:pPr>
        <w:spacing w:after="160" w:line="312"/>
        <w:jc w:val="both"/>
      </w:pPr>
      <w:r>
        <w:rPr>
          <w:rFonts w:ascii="Calibri" w:cs="Calibri" w:eastAsia="Calibri" w:hAnsi="Calibri"/>
          <w:sz w:val="22"/>
          <w:szCs w:val="22"/>
        </w:rPr>
        <w:t xml:space="preserve">These three claims, together, are why I land where I do. Venture capital is good enough to keep, valuable enough to defend, marginally improvable through reform that preserves the search function, and modular enough that the redesign is feasible without destroying what makes it work. That is the honest answer to the question the reader asked.</w:t>
      </w:r>
    </w:p>
    <w:p>
      <w:pPr>
        <w:pStyle w:val="Heading2"/>
        <w:spacing w:after="160" w:before="300"/>
      </w:pPr>
      <w:r>
        <w:rPr>
          <w:rFonts w:ascii="Calibri" w:cs="Calibri" w:eastAsia="Calibri" w:hAnsi="Calibri"/>
          <w:b/>
          <w:bCs/>
          <w:color w:val="1F3864"/>
          <w:sz w:val="28"/>
          <w:szCs w:val="28"/>
        </w:rPr>
        <w:t xml:space="preserve">Final note on what this answer is and is not</w:t>
      </w:r>
    </w:p>
    <w:p>
      <w:pPr>
        <w:spacing w:after="160" w:line="312"/>
        <w:jc w:val="both"/>
      </w:pPr>
      <w:r>
        <w:rPr>
          <w:rFonts w:ascii="Calibri" w:cs="Calibri" w:eastAsia="Calibri" w:hAnsi="Calibri"/>
          <w:sz w:val="22"/>
          <w:szCs w:val="22"/>
        </w:rPr>
        <w:t xml:space="preserve">This is the answer of an AI assistant who has analysed the available evidence carefully and reached a tentative position, then revised that position substantively in response to external critique. It is not the position of Anthropic the company, of the human reader who asked for the analysis, of any working venture capitalist, of any economist who would scrutinise the reasoning, or of any founder whose lived experience would test the analysis against actual outcomes. A reader who wants confident guidance on whether to enter the venture system as a founder, employee, or investor should treat this as one input among several rather than as authoritative advice. A reader who wants to think through the question carefully will find the previous eleven parts of this document a more useful tool than this final part, because the previous parts present the evidence and frames and let the reader's own judgment do the weighting. This part is what I do with the evidence after laying it out. The reader's own answer may differ from mine. That is the right response if their values and weightings differ from mine.</w:t>
      </w:r>
    </w:p>
    <w:p>
      <w:pPr>
        <w:spacing w:after="160" w:line="312"/>
        <w:jc w:val="both"/>
      </w:pPr>
      <w:r>
        <w:rPr>
          <w:rFonts w:ascii="Calibri" w:cs="Calibri" w:eastAsia="Calibri" w:hAnsi="Calibri"/>
          <w:sz w:val="22"/>
          <w:szCs w:val="22"/>
        </w:rPr>
        <w:t xml:space="preserve">Author: Claude (Anthropic), model identifier Claude Opus 4.7. Document version 11. Written 5 May 2026 in response to an extended dialogue with a reader who asked, after seeing earlier versions, that the author state their own position directly, and then engaged with external review that pushed for more substantive treatment of civilisational and geopolitical considerations. The previous parts of this document remain the primary contribution; this part is the author's revised verdict, included for the reader who wanted the answer rather than the map.</w:t>
      </w:r>
    </w:p>
    <w:p>
      <w:pPr>
        <w:spacing w:after="120"/>
      </w:pPr>
      <w:r>
        <w:t xml:space="preserve"/>
      </w:r>
    </w:p>
    <w:p>
      <w:pPr>
        <w:pBdr>
          <w:bottom w:val="single" w:color="1A2E45" w:sz="6" w:space="1"/>
        </w:pBdr>
        <w:spacing w:after="240" w:before="120"/>
      </w:pPr>
      <w:r>
        <w:rPr>
          <w:sz w:val="2"/>
          <w:szCs w:val="2"/>
        </w:rPr>
        <w:t xml:space="preserve"/>
      </w:r>
    </w:p>
    <w:p>
      <w:pPr>
        <w:pStyle w:val="Heading2"/>
        <w:spacing w:after="160" w:before="300"/>
      </w:pPr>
      <w:r>
        <w:rPr>
          <w:rFonts w:ascii="Calibri" w:cs="Calibri" w:eastAsia="Calibri" w:hAnsi="Calibri"/>
          <w:b/>
          <w:bCs/>
          <w:color w:val="1F3864"/>
          <w:sz w:val="28"/>
          <w:szCs w:val="28"/>
        </w:rPr>
        <w:t xml:space="preserve">Sources</w:t>
      </w:r>
    </w:p>
    <w:p>
      <w:pPr>
        <w:spacing w:after="160" w:line="312"/>
        <w:jc w:val="both"/>
      </w:pPr>
      <w:r>
        <w:rPr>
          <w:rFonts w:ascii="Calibri" w:cs="Calibri" w:eastAsia="Calibri" w:hAnsi="Calibri"/>
          <w:sz w:val="22"/>
          <w:szCs w:val="22"/>
        </w:rPr>
        <w:t xml:space="preserve">Cambridge Associates: US PE/VC Benchmark Commentary 2024 calendar year and H1 2025 reports; 25-year comparative analysis vs S&amp;P 500.</w:t>
      </w:r>
    </w:p>
    <w:p>
      <w:pPr>
        <w:spacing w:after="160" w:line="312"/>
        <w:jc w:val="both"/>
      </w:pPr>
      <w:r>
        <w:rPr>
          <w:rFonts w:ascii="Calibri" w:cs="Calibri" w:eastAsia="Calibri" w:hAnsi="Calibri"/>
          <w:sz w:val="22"/>
          <w:szCs w:val="22"/>
        </w:rPr>
        <w:t xml:space="preserve">ITIF: "Venture Capital and Advanced Technologies Drive US Employment" (December 2025). National Venture Capital Association: Employment Dynamics 2020 report.</w:t>
      </w:r>
    </w:p>
    <w:p>
      <w:pPr>
        <w:spacing w:after="160" w:line="312"/>
        <w:jc w:val="both"/>
      </w:pPr>
      <w:r>
        <w:rPr>
          <w:rFonts w:ascii="Calibri" w:cs="Calibri" w:eastAsia="Calibri" w:hAnsi="Calibri"/>
          <w:sz w:val="22"/>
          <w:szCs w:val="22"/>
        </w:rPr>
        <w:t xml:space="preserve">NBER Working Papers: Greenwood and Han, "Financing Ventures" (24808); "Technifying Ventures" (33993, US Census Bureau microdata). Stanford GSB: Lerner and Gornall, "How Much Does Venture Capital Drive the U.S. Economy?" (2013 data analysis).</w:t>
      </w:r>
    </w:p>
    <w:p>
      <w:pPr>
        <w:spacing w:after="160" w:line="312"/>
        <w:jc w:val="both"/>
      </w:pPr>
      <w:r>
        <w:rPr>
          <w:rFonts w:ascii="Calibri" w:cs="Calibri" w:eastAsia="Calibri" w:hAnsi="Calibri"/>
          <w:sz w:val="22"/>
          <w:szCs w:val="22"/>
        </w:rPr>
        <w:t xml:space="preserve">Hall and Woodward, "The Burden of the Nondiversifiable Risk of Entrepreneurship" (Stanford GSB / NBER); 80,000 Hours summary on payoff and probability of obtaining venture capital. Correlation Ventures, 2009-2018 deal failure analysis.</w:t>
      </w:r>
    </w:p>
    <w:p>
      <w:pPr>
        <w:spacing w:after="160" w:line="312"/>
        <w:jc w:val="both"/>
      </w:pPr>
      <w:r>
        <w:rPr>
          <w:rFonts w:ascii="Calibri" w:cs="Calibri" w:eastAsia="Calibri" w:hAnsi="Calibri"/>
          <w:sz w:val="22"/>
          <w:szCs w:val="22"/>
        </w:rPr>
        <w:t xml:space="preserve">On founder overconfidence and expectations: Cooper, Woo, and Dunkelberg, "Entrepreneurs' perceived chances for success," Journal of Business Venturing 3 (1988), 97–108. Camerer and Lovallo, "Overconfidence and excess entry," American Economic Review (1999). Kahneman and Lovallo, "Delusions of Success: How Optimism Undermines Executives' Decisions," Harvard Business Review (2003). Astebro, Herz, Nanda, Weber, "Seeking the Roots of Entrepreneurship," Journal of Economic Perspectives (2014). Yang, Gaulin, Seegert, "Why is Entrepreneurial Overconfidence (So) Persistent?" working paper.</w:t>
      </w:r>
    </w:p>
    <w:p>
      <w:pPr>
        <w:spacing w:after="160" w:line="312"/>
        <w:jc w:val="both"/>
      </w:pPr>
      <w:r>
        <w:rPr>
          <w:rFonts w:ascii="Calibri" w:cs="Calibri" w:eastAsia="Calibri" w:hAnsi="Calibri"/>
          <w:sz w:val="22"/>
          <w:szCs w:val="22"/>
        </w:rPr>
        <w:t xml:space="preserve">On the LP base: Cambridge Associates, "Right-Sizing Private Investments for the Evolving Pension" (2025); Praxisrock, university endowment AUM rankings (2026); Wikipedia, "Pension investment in private equity." Kim, "Public Pension Funds and Risk-Taking in Venture Capital" (SSRN 2025). Mahesh VC, "The Business of Venture Capital" on the LP universe.</w:t>
      </w:r>
    </w:p>
    <w:p>
      <w:pPr>
        <w:spacing w:after="160" w:line="312"/>
        <w:jc w:val="both"/>
      </w:pPr>
      <w:r>
        <w:rPr>
          <w:rFonts w:ascii="Calibri" w:cs="Calibri" w:eastAsia="Calibri" w:hAnsi="Calibri"/>
          <w:sz w:val="22"/>
          <w:szCs w:val="22"/>
        </w:rPr>
        <w:t xml:space="preserve">On carried interest: DLA Piper, "2025 carried interest tax reform and impact on sponsors and investors" (February 2025); Akin, "2025 Perspectives in Private Equity: Tax Analysis"; Britannica Money, "What Is Carried Interest? Tax Loophole &amp; Controversy"; Tax Project Institute, "Carried Interest — History &amp; Controversy"; Fortune, "GOP tax bill preserves carried interest loophole" (May 2025); CNBC, Trump and carried interest reform (February 2025).</w:t>
      </w:r>
    </w:p>
    <w:p>
      <w:pPr>
        <w:spacing w:after="160" w:line="312"/>
        <w:jc w:val="both"/>
      </w:pPr>
      <w:r>
        <w:rPr>
          <w:rFonts w:ascii="Calibri" w:cs="Calibri" w:eastAsia="Calibri" w:hAnsi="Calibri"/>
          <w:sz w:val="22"/>
          <w:szCs w:val="22"/>
        </w:rPr>
        <w:t xml:space="preserve">McKinsey, "Underestimated start-up founders" (2023). Bahn, Willensky, McGrew (Center for American Progress) on demographic entrepreneurship rates. Fairlie, Robb, Robinson on capital differentials at firm formation.</w:t>
      </w:r>
    </w:p>
    <w:p>
      <w:pPr>
        <w:spacing w:after="160" w:line="312"/>
        <w:jc w:val="both"/>
      </w:pPr>
      <w:r>
        <w:rPr>
          <w:rFonts w:ascii="Calibri" w:cs="Calibri" w:eastAsia="Calibri" w:hAnsi="Calibri"/>
          <w:sz w:val="22"/>
          <w:szCs w:val="22"/>
        </w:rPr>
        <w:t xml:space="preserve">Freeman et al. (UCSF) founder mental health study. Sifted founder mental health surveys (2024, 2025). Startup Snapshot "Untold Toll" report. Cerevity 2025 founder burnout statistics.</w:t>
      </w:r>
    </w:p>
    <w:p>
      <w:pPr>
        <w:spacing w:after="160" w:line="312"/>
        <w:jc w:val="both"/>
      </w:pPr>
      <w:r>
        <w:rPr>
          <w:rFonts w:ascii="Calibri" w:cs="Calibri" w:eastAsia="Calibri" w:hAnsi="Calibri"/>
          <w:sz w:val="22"/>
          <w:szCs w:val="22"/>
        </w:rPr>
        <w:t xml:space="preserve">Carta, "VC funding in healthcare shows resilience" (2024). VC Lab, sectoral fund formation analysis 2020-2025. Affinity, top venture firms by sector (2026). Index Ventures, "Rewarding Talent" on equity outcomes (Criteo IPO data). 80,000 Hours analysis of Hall-Woodward data on venture-backed company outcomes.</w:t>
      </w:r>
    </w:p>
    <w:p>
      <w:pPr>
        <w:spacing w:after="160" w:line="312"/>
        <w:jc w:val="both"/>
      </w:pPr>
      <w:r>
        <w:rPr>
          <w:rFonts w:ascii="Calibri" w:cs="Calibri" w:eastAsia="Calibri" w:hAnsi="Calibri"/>
          <w:sz w:val="22"/>
          <w:szCs w:val="22"/>
        </w:rPr>
        <w:t xml:space="preserve">On non-US ecosystems: Invest Europe annual reports; EIF reports; BVCA UK reports; Beauhurst UK data; Bain India VC reports; NASSCOM; OECD VC data; Israeli Innovation Authority reports. The Longer Look (thelongerlook.com), "UK Tech and the IHT Reform" (April 2026).</w:t>
      </w:r>
    </w:p>
    <w:p>
      <w:pPr>
        <w:spacing w:after="160" w:line="312"/>
        <w:jc w:val="both"/>
      </w:pPr>
      <w:r>
        <w:rPr>
          <w:rFonts w:ascii="Calibri" w:cs="Calibri" w:eastAsia="Calibri" w:hAnsi="Calibri"/>
          <w:sz w:val="22"/>
          <w:szCs w:val="22"/>
        </w:rPr>
        <w:t xml:space="preserve">On counterfactual institutional forms: Mazzucato, The Entrepreneurial State (2013); Pérez-González (2006), Villalonga and Amit (2006) on family-controlled firms. On Yozma: Avnimelech and Teubal.</w:t>
      </w:r>
    </w:p>
    <w:p>
      <w:pPr>
        <w:spacing w:after="160" w:line="312"/>
        <w:jc w:val="both"/>
      </w:pPr>
      <w:r>
        <w:rPr>
          <w:rFonts w:ascii="Calibri" w:cs="Calibri" w:eastAsia="Calibri" w:hAnsi="Calibri"/>
          <w:sz w:val="22"/>
          <w:szCs w:val="22"/>
        </w:rPr>
        <w:t xml:space="preserve">On the five frames — representative origins: Hayek, "The Use of Knowledge in Society" (1945); Sen, Development as Freedom (1999); Nussbaum, Creating Capabilities (2011); North, Institutions, Institutional Change and Economic Performance (1990); Ostrom, Governing the Commons (1990); Acemoglu and Robinson, Why Nations Fail (2012); Beinhocker, The Origin of Wealth (2006). On Frame E specifically: Faden and Beauchamp, A History and Theory of Informed Consent (1986); Rawls, A Theory of Justice (1971); legal-doctrine literature on informed consent in commercial and medical contexts.</w:t>
      </w:r>
    </w:p>
    <w:p>
      <w:pPr>
        <w:spacing w:after="160" w:line="312"/>
        <w:jc w:val="both"/>
      </w:pPr>
      <w:r>
        <w:rPr>
          <w:rFonts w:ascii="Calibri" w:cs="Calibri" w:eastAsia="Calibri" w:hAnsi="Calibri"/>
          <w:sz w:val="22"/>
          <w:szCs w:val="22"/>
        </w:rPr>
        <w:t xml:space="preserve">On the three-jurisdiction natural-experiment treatment in Part V: PitchBook annual European Venture Reports 2024-2025; Atomico State of European Tech 2024 and 2025; BVCA UK Venture Capital Performance reports; Beauhurst quarterly UK data; Invest Europe annual reports; EIF activity reports; KfW Venture Capital Dashboard 2024 (January 2025); Bpifrance annual reports; Chambers and Partners Venture Capital Practice Guides 2024 and 2025 covering Germany, France, Netherlands, Sweden, and other EU member states; Diversity VC and Extend Ventures UK demographic reports; European Women in VC 2024 report; Davis Wright Tremaine, K&amp;L Gates, Akin, Tax Adviser briefings on QSBS / OBBBA July 2025; HMRC EIS/SEIS/EMI guidance and UK Finance Act 2026 documents; The Longer Look (thelongerlook.com), "UK Tech and the IHT Reform" (April 2026).</w:t>
      </w:r>
    </w:p>
    <w:p>
      <w:pPr>
        <w:spacing w:after="160" w:line="312"/>
        <w:jc w:val="both"/>
      </w:pPr>
      <w:r>
        <w:rPr>
          <w:rFonts w:ascii="Calibri" w:cs="Calibri" w:eastAsia="Calibri" w:hAnsi="Calibri"/>
          <w:sz w:val="22"/>
          <w:szCs w:val="22"/>
        </w:rPr>
        <w:t xml:space="preserve">On founder behaviour and structure: Wasserman, The Founder's Dilemmas (2012). Doug Scott, Orphans (orphans.ai), April 2026.</w:t>
      </w:r>
    </w:p>
    <w:p>
      <w:pPr>
        <w:spacing w:after="160" w:line="312"/>
        <w:jc w:val="both"/>
      </w:pPr>
      <w:r>
        <w:rPr>
          <w:rFonts w:ascii="Calibri" w:cs="Calibri" w:eastAsia="Calibri" w:hAnsi="Calibri"/>
          <w:sz w:val="22"/>
          <w:szCs w:val="22"/>
        </w:rPr>
        <w:t xml:space="preserve">On startup employee compensation and outcomes: 80,000 Hours analysis of AngelList compensation data; Founder Institute breakdown of typical acquisition equity arithmetic; Index Ventures Rewarding Talent guide on equity outcomes including Criteo's 50+ employee millionaires from the 2013 IPO.</w:t>
      </w:r>
    </w:p>
    <w:p>
      <w:pPr>
        <w:spacing w:after="160" w:line="312"/>
        <w:jc w:val="both"/>
      </w:pPr>
      <w:r>
        <w:rPr>
          <w:rFonts w:ascii="Calibri" w:cs="Calibri" w:eastAsia="Calibri" w:hAnsi="Calibri"/>
          <w:sz w:val="22"/>
          <w:szCs w:val="22"/>
        </w:rPr>
        <w:t xml:space="preserve">On externalities: Twenge, Haidt, Lozano, Cummins, "Specification curve analysis shows that social media use is linked to poor mental health, especially among girls" (Acta Psychologica 2022); Orben and Przybylski, "The association between adolescent well-being and digital technology use" (Nature Human Behaviour 2019, the source of the eating-potatoes comparison); Twenge, Haidt, Joiner, Campbell, "Underestimating digital media harm" (Nature Human Behaviour 2020); 2023 US Surgeon General Advisory on Social Media and Youth Mental Health; Georgetown clinical trial NCT06049888 on causal effects of social media restriction in 11-14-year-olds.</w:t>
      </w:r>
    </w:p>
    <w:p>
      <w:pPr>
        <w:spacing w:after="120"/>
      </w:pPr>
      <w:r>
        <w:t xml:space="preserve"/>
      </w:r>
    </w:p>
    <w:p>
      <w:pPr>
        <w:spacing w:after="120" w:line="280"/>
      </w:pPr>
      <w:r>
        <w:rPr>
          <w:rFonts w:ascii="Calibri" w:cs="Calibri" w:eastAsia="Calibri" w:hAnsi="Calibri"/>
          <w:i/>
          <w:iCs/>
          <w:color w:val="555555"/>
          <w:sz w:val="18"/>
          <w:szCs w:val="18"/>
        </w:rPr>
        <w:t xml:space="preserve">This document relies on web-search summaries of cited sources. A reader who finds a specific figure decisive should follow the citation to the primary source. The document is the fifth iteration in response to repeated external critique; it remains imperfectly balanced. Any further critique is welcome.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i/>
        <w:iCs/>
        <w:color w:val="888888"/>
        <w:sz w:val="16"/>
        <w:szCs w:val="16"/>
      </w:rPr>
      <w:t xml:space="preserve">VC: most fail, most suffer, some win lots — does society win or lose?  ·  seven-frame analysis  ·  US/UK/EU  ·  May 2026 (v13)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20" w:before="400"/>
      <w:outlineLvl w:val="0"/>
    </w:pPr>
    <w:rPr>
      <w:rFonts w:ascii="Calibri" w:cs="Calibri" w:eastAsia="Calibri" w:hAnsi="Calibri"/>
      <w:b/>
      <w:bCs/>
      <w:color w:val="1F3864"/>
      <w:sz w:val="36"/>
      <w:szCs w:val="36"/>
    </w:rPr>
  </w:style>
  <w:style w:type="paragraph" w:styleId="Heading2">
    <w:name w:val="Heading 2"/>
    <w:basedOn w:val="Normal"/>
    <w:next w:val="Normal"/>
    <w:qFormat/>
    <w:pPr>
      <w:spacing w:after="160" w:before="300"/>
      <w:outlineLvl w:val="1"/>
    </w:pPr>
    <w:rPr>
      <w:rFonts w:ascii="Calibri" w:cs="Calibri" w:eastAsia="Calibri" w:hAnsi="Calibri"/>
      <w:b/>
      <w:bCs/>
      <w:color w:val="1F3864"/>
      <w:sz w:val="28"/>
      <w:szCs w:val="28"/>
    </w:rPr>
  </w:style>
  <w:style w:type="paragraph" w:styleId="Heading3">
    <w:name w:val="Heading 3"/>
    <w:basedOn w:val="Normal"/>
    <w:next w:val="Normal"/>
    <w:qFormat/>
    <w:pPr>
      <w:spacing w:after="120" w:before="220"/>
      <w:outlineLvl w:val="2"/>
    </w:pPr>
    <w:rPr>
      <w:rFonts w:ascii="Calibri" w:cs="Calibri" w:eastAsia="Calibri" w:hAnsi="Calibri"/>
      <w:b/>
      <w:bCs/>
      <w:color w:val="1A2E4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 most fail, most suffer, some win lots — does society win or lose? (v13, with prologue, seven-frame analysis across US/UK/EU)</dc:title>
  <dc:creator>Claude (assistant)</dc:creator>
  <dc:description>Five frames, fact-interpretation split, evidence-strength labels, deep VC mechanics, equal narrative weight.</dc:description>
  <cp:lastModifiedBy>Un-named</cp:lastModifiedBy>
  <cp:revision>1</cp:revision>
  <dcterms:created xsi:type="dcterms:W3CDTF">2026-05-05T15:53:33.046Z</dcterms:created>
  <dcterms:modified xsi:type="dcterms:W3CDTF">2026-05-05T15:53:33.046Z</dcterms:modified>
</cp:coreProperties>
</file>

<file path=docProps/custom.xml><?xml version="1.0" encoding="utf-8"?>
<Properties xmlns="http://schemas.openxmlformats.org/officeDocument/2006/custom-properties" xmlns:vt="http://schemas.openxmlformats.org/officeDocument/2006/docPropsVTypes"/>
</file>