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b/>
          <w:bCs/>
          <w:sz w:val="56"/>
          <w:szCs w:val="56"/>
        </w:rPr>
        <w:t xml:space="preserve">Mars Industrialisation</w:t>
      </w:r>
    </w:p>
    <w:p>
      <w:pPr>
        <w:spacing w:after="200"/>
        <w:jc w:val="center"/>
      </w:pPr>
      <w:r>
        <w:rPr>
          <w:i/>
          <w:iCs/>
          <w:sz w:val="36"/>
          <w:szCs w:val="36"/>
        </w:rPr>
        <w:t xml:space="preserve">Reference Materials</w:t>
      </w:r>
    </w:p>
    <w:p>
      <w:pPr>
        <w:spacing w:after="600"/>
        <w:jc w:val="center"/>
      </w:pPr>
      <w:r>
        <w:rPr>
          <w:sz w:val="22"/>
          <w:szCs w:val="22"/>
        </w:rPr>
        <w:t xml:space="preserve">Assumptions, Companies, Capital, Sources</w:t>
      </w:r>
    </w:p>
    <w:p>
      <w:pPr>
        <w:spacing w:after="200"/>
        <w:jc w:val="center"/>
      </w:pPr>
      <w:r>
        <w:rPr>
          <w:i/>
          <w:iCs/>
          <w:color w:val="666666"/>
          <w:sz w:val="18"/>
          <w:szCs w:val="18"/>
        </w:rPr>
        <w:t xml:space="preserve">Document 7 of 6 in the Building Mars set</w:t>
      </w:r>
    </w:p>
    <w:p>
      <w:pPr>
        <w:spacing w:after="1200"/>
        <w:jc w:val="center"/>
      </w:pPr>
      <w:r>
        <w:rPr>
          <w:sz w:val="22"/>
          <w:szCs w:val="22"/>
        </w:rPr>
        <w:t xml:space="preserve">May 2026</w:t>
      </w:r>
    </w:p>
    <w:p>
      <w:r>
        <w:br w:type="page"/>
      </w:r>
    </w:p>
    <w:p>
      <w:pPr>
        <w:pStyle w:val="Heading1"/>
      </w:pPr>
      <w:r>
        <w:t xml:space="preserve">Reference Document</w:t>
      </w:r>
    </w:p>
    <w:p>
      <w:pPr>
        <w:spacing w:after="160" w:line="320"/>
        <w:jc w:val="left"/>
      </w:pPr>
      <w:r>
        <w:t xml:space="preserve">This document is the reference appendix for the Building Mars set. It collects the verifiable factual material referenced across Documents 1 through 6: the full assumptions ledger, target company list with funding status and acquisition rationale, capital sources and investor map, and citations with balanced further reading from supporters, critics, and skeptics.</w:t>
      </w:r>
    </w:p>
    <w:p>
      <w:pPr>
        <w:spacing w:after="160" w:line="320"/>
        <w:jc w:val="left"/>
      </w:pPr>
      <w:r>
        <w:t xml:space="preserve">Treat this as the source-of-truth reference for facts cited elsewhere in the set. Where Documents 1 through 6 reference specific figures, named companies, or particular sources, the verification anchor is here. Figures are current as of May 2026 and should be reverified against primary sources for any specific claim that materially affects the reader's use of the document.</w:t>
      </w:r>
    </w:p>
    <w:p>
      <w:pPr>
        <w:spacing w:after="160" w:line="320"/>
        <w:jc w:val="left"/>
      </w:pPr>
      <w:r>
        <w:t xml:space="preserve">A note on the numbering: this is "Document 7 of 6" because the set has six audience-targeted documents plus this reference appendix. The set is six readable documents and one source-document; the seventh exists to support the others rather than to be read independently.</w:t>
      </w:r>
    </w:p>
    <w:p>
      <w:r>
        <w:br w:type="page"/>
      </w:r>
    </w:p>
    <w:p>
      <w:pPr>
        <w:pStyle w:val="Heading1"/>
      </w:pPr>
      <w:r>
        <w:t xml:space="preserve">A. Key Assumptions Ledger</w:t>
      </w:r>
    </w:p>
    <w:p>
      <w:pPr>
        <w:spacing w:after="160" w:line="320"/>
        <w:jc w:val="left"/>
      </w:pPr>
      <w:r>
        <w:t xml:space="preserve">The full assumptions ledger. Each row identifies an assumption that materially affects the programme, gives conservative/base/aggressive scenarios, identifies the failure signal, and notes which sections of the plan depend on the assumption.</w:t>
      </w:r>
    </w:p>
    <w:p>
      <w:pPr>
        <w:pStyle w:val="Heading2"/>
      </w:pPr>
      <w:r>
        <w:t xml:space="preserve">A.1 Launch and Logistics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500"/>
        <w:gridCol w:w="1500"/>
        <w:gridCol w:w="1500"/>
        <w:gridCol w:w="2460"/>
      </w:tblGrid>
      <w:tr>
        <w:trPr>
          <w:tblHeader/>
        </w:trPr>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Assumption</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Conservative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Base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Aggressive</w:t>
            </w:r>
          </w:p>
        </w:tc>
        <w:tc>
          <w:tcPr>
            <w:tcW w:type="dxa" w:w="24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Failure signal</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Starship reusable payload to Mars surface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60–80 t</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100 t</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150 t</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Refuelling architecture stalls; landing failures</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Starship production rate (Year 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25/yr</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50/yr</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100/yr</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Manufacturing scaling fails</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Starships per Mars window (Year 10)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100+</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Production cadence below base</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Starship cost per Mars-delivered ton</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$3M</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$1M</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$0.5M</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Refurbishment costs higher than expected</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Earth-to-Mars transit reliability</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85%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95%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99%</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Multiple cascade failures in transit</w:t>
            </w:r>
          </w:p>
        </w:tc>
      </w:tr>
    </w:tbl>
    <w:p>
      <w:pPr>
        <w:spacing w:after="160" w:line="320"/>
        <w:jc w:val="left"/>
      </w:pPr>
      <w:r>
        <w:t xml:space="preserve"> </w:t>
      </w:r>
    </w:p>
    <w:p>
      <w:pPr>
        <w:pStyle w:val="Heading2"/>
      </w:pPr>
      <w:r>
        <w:t xml:space="preserve">A.2 Robotics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500"/>
        <w:gridCol w:w="1500"/>
        <w:gridCol w:w="1500"/>
        <w:gridCol w:w="2460"/>
      </w:tblGrid>
      <w:tr>
        <w:trPr>
          <w:tblHeader/>
        </w:trPr>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Assumption</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Conservative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Base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Aggressive</w:t>
            </w:r>
          </w:p>
        </w:tc>
        <w:tc>
          <w:tcPr>
            <w:tcW w:type="dxa" w:w="24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Failure signal</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Mars-spec Optimus unit cost (volume)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$300k</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$150k</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$80k</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Aerospace cost structure persists</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Mars-spec annual production</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5,000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20,000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50,000+</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Tesla manufacturing ramp fails</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Robot MTBF on Mars surface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Weeks</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Months</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Years</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Dust/thermal cycling worse than modelled</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Phase 3 deployed fleet (Year 12)</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15,000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50,000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100,000+</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Scale-up below threshold</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Loss rate per launch window</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Failure modes not addressable</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Autonomy stack reliability</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90%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99%</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99.9%</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Cannot operate without human supervision</w:t>
            </w:r>
          </w:p>
        </w:tc>
      </w:tr>
    </w:tbl>
    <w:p>
      <w:pPr>
        <w:spacing w:after="160" w:line="320"/>
        <w:jc w:val="left"/>
      </w:pPr>
      <w:r>
        <w:t xml:space="preserve"> </w:t>
      </w:r>
    </w:p>
    <w:p>
      <w:pPr>
        <w:pStyle w:val="Heading2"/>
      </w:pPr>
      <w:r>
        <w:t xml:space="preserve">A.3 Surface Power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500"/>
        <w:gridCol w:w="1500"/>
        <w:gridCol w:w="1500"/>
        <w:gridCol w:w="2460"/>
      </w:tblGrid>
      <w:tr>
        <w:trPr>
          <w:tblHeader/>
        </w:trPr>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Assumption</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Conservative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Base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Aggressive</w:t>
            </w:r>
          </w:p>
        </w:tc>
        <w:tc>
          <w:tcPr>
            <w:tcW w:type="dxa" w:w="24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Failure signal</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First operational Mars surface nuclear</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2034</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2032</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2031</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NSTM-3 stalls; NRC delays</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Mars surface nuclear scale (Year 10)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~100 kWe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1–5 MWe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 MWe</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Megawatt launch cert stalls</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SMR cost per unit at production volume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$200M</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$100M</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$50M</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Manufacturing not economic</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HALEU fuel availability for space use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Constrained</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Adequate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Abundant</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Production capacity limited</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Solar array efficiency on dusty Mars</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60%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80%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90%</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Dust mitigation fails</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Total surface power (Year 25)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300 MWe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 GWe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Multi-GWe</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Insufficient industrial activity</w:t>
            </w:r>
          </w:p>
        </w:tc>
      </w:tr>
    </w:tbl>
    <w:p>
      <w:pPr>
        <w:spacing w:after="160" w:line="320"/>
        <w:jc w:val="left"/>
      </w:pPr>
      <w:r>
        <w:t xml:space="preserve"> </w:t>
      </w:r>
    </w:p>
    <w:p>
      <w:pPr>
        <w:pStyle w:val="Heading2"/>
      </w:pPr>
      <w:r>
        <w:t xml:space="preserve">A.4 ISRU and Industrial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500"/>
        <w:gridCol w:w="1500"/>
        <w:gridCol w:w="1500"/>
        <w:gridCol w:w="2460"/>
      </w:tblGrid>
      <w:tr>
        <w:trPr>
          <w:tblHeader/>
        </w:trPr>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Assumption</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Conservative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Base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Aggressive</w:t>
            </w:r>
          </w:p>
        </w:tc>
        <w:tc>
          <w:tcPr>
            <w:tcW w:type="dxa" w:w="24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Failure signal</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ISRU at Year 7</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Demo scale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Pilot plant</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Industrial</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Water access fails or perchlorate surprises</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Local manufacturing at Year 12</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40%</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Localisation slower than expected</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Local mass at Year 25 (full plan)</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70%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90%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95%</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Earth-side complexity higher than expected</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Trailing-edge fab on Mars</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Year 35+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Year 25–30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Year 22</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Fab too complex to ship/operate</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Earth-Mars trade volume by Year 25</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&lt;1 kt/yr</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 kt/yr</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100 kt/yr</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Specialisation fails to develop</w:t>
            </w:r>
          </w:p>
        </w:tc>
      </w:tr>
    </w:tbl>
    <w:p>
      <w:pPr>
        <w:spacing w:after="160" w:line="320"/>
        <w:jc w:val="left"/>
      </w:pPr>
      <w:r>
        <w:t xml:space="preserve"> </w:t>
      </w:r>
    </w:p>
    <w:p>
      <w:pPr>
        <w:pStyle w:val="Heading2"/>
      </w:pPr>
      <w:r>
        <w:t xml:space="preserve">A.5 Capital and Politics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1500"/>
        <w:gridCol w:w="1500"/>
        <w:gridCol w:w="1500"/>
        <w:gridCol w:w="2460"/>
      </w:tblGrid>
      <w:tr>
        <w:trPr>
          <w:tblHeader/>
        </w:trPr>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Assumption</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Conservative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Base</w:t>
            </w:r>
          </w:p>
        </w:tc>
        <w:tc>
          <w:tcPr>
            <w:tcW w:type="dxa" w:w="15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Aggressive</w:t>
            </w:r>
          </w:p>
        </w:tc>
        <w:tc>
          <w:tcPr>
            <w:tcW w:type="dxa" w:w="24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Failure signal</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Capital available across 15 years</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$300B</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$500–700B</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$1T+</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Sovereign or public markets close</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Sovereign wealth participation</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$50B</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$150B</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$250B</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priorities shift</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Government contracts (NASA, DoD, ESA)</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$30B</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$75B</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$150B</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Political reversal</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 integration cost</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$10B</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$25B</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$50B</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Targets command higher premium</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success rate (retention)</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70%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90%</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Cultural integration fails</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Political continuity (15-yr horizon)</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Disrupted</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Stable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Tailwind</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NSTM-3 reversal; FAA restrictions</w:t>
            </w:r>
          </w:p>
        </w:tc>
      </w:tr>
      <w:tr>
        <w:trPr>
          <w:cantSplit/>
        </w:trPr>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International participation</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Token</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Substantive</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Deep partnership</w:t>
            </w:r>
          </w:p>
        </w:tc>
        <w:tc>
          <w:tcPr>
            <w:tcW w:type="dxa" w:w="24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US-only framing rejected</w:t>
            </w:r>
          </w:p>
        </w:tc>
      </w:tr>
    </w:tbl>
    <w:p>
      <w:pPr>
        <w:spacing w:after="160" w:line="320"/>
        <w:jc w:val="left"/>
      </w:pPr>
      <w:r>
        <w:t xml:space="preserve"> </w:t>
      </w:r>
    </w:p>
    <w:p>
      <w:pPr>
        <w:spacing w:after="160" w:line="320"/>
        <w:jc w:val="left"/>
      </w:pPr>
      <w:r>
        <w:t xml:space="preserve">The aggregated effect: if approximately 80% of base-case assumptions are met, the 25-year aggressive timeline holds. If 60–80% are met (mostly conservative cases), the timeline stretches to 30–35 years. Below 60% met, the programme as currently scoped is infeasible and a different plan would be needed.</w:t>
      </w:r>
    </w:p>
    <w:p>
      <w:r>
        <w:br w:type="page"/>
      </w:r>
    </w:p>
    <w:p>
      <w:pPr>
        <w:pStyle w:val="Heading1"/>
      </w:pPr>
      <w:r>
        <w:t xml:space="preserve">B. Target Companies and Acquisition Rationale</w:t>
      </w:r>
    </w:p>
    <w:p>
      <w:pPr>
        <w:spacing w:after="160" w:line="320"/>
        <w:jc w:val="left"/>
      </w:pPr>
      <w:r>
        <w:t xml:space="preserve">The integration strategy in Section 8 depends on specific companies that already exist and are already developing the relevant technologies. This appendix lists the principal targets, their funding status (as of mid-2026), and the recommended posture (acquire, deeply partner, or maintain a watching brief).</w:t>
      </w:r>
    </w:p>
    <w:p>
      <w:pPr>
        <w:spacing w:after="160" w:line="320"/>
        <w:jc w:val="left"/>
      </w:pPr>
      <w:r>
        <w:t xml:space="preserve">All figures are best-available public information as of May 2026. Funding totals are approximate and may understate disclosed amounts. The recommendation column reflects the integration strategy logic, not specific transaction availability — many of these companies may not be available for acquisition at any price.</w:t>
      </w:r>
    </w:p>
    <w:p>
      <w:pPr>
        <w:pStyle w:val="Heading2"/>
      </w:pPr>
      <w:r>
        <w:t xml:space="preserve">B.1 Heavy Lift and Logistics (Layer 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400"/>
        <w:gridCol w:w="2960"/>
      </w:tblGrid>
      <w:tr>
        <w:trPr>
          <w:tblHeader/>
        </w:trPr>
        <w:tc>
          <w:tcPr>
            <w:tcW w:type="dxa" w:w="18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Company</w:t>
            </w:r>
          </w:p>
        </w:tc>
        <w:tc>
          <w:tcPr>
            <w:tcW w:type="dxa" w:w="2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Status / capital</w:t>
            </w:r>
          </w:p>
        </w:tc>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Capability</w:t>
            </w:r>
          </w:p>
        </w:tc>
        <w:tc>
          <w:tcPr>
            <w:tcW w:type="dxa" w:w="29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Recommendation</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SpaceX (Starship)</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Internal under Option A merger</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Heavy lift, Mars architecture</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Internal</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Impulse Space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C $300M (2025), total ~$525M</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Orbital tugs, in-space mobility</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equity / deep partnership</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Firefly Aerospace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Public 2024; $50M from Northrop 2025</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Medium lift, lunar delivery</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Commercial partnership</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Stoke Space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B $260M (2024-25)</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Reusable medium launch</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Watching brief</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Relativity Space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Multi-billion, Cantrell era</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Reusable medium-heavy lift</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Watching brief</w:t>
            </w:r>
          </w:p>
        </w:tc>
      </w:tr>
    </w:tbl>
    <w:p>
      <w:pPr>
        <w:spacing w:after="160" w:line="320"/>
        <w:jc w:val="left"/>
      </w:pPr>
      <w:r>
        <w:t xml:space="preserve"> </w:t>
      </w:r>
    </w:p>
    <w:p>
      <w:pPr>
        <w:pStyle w:val="Heading2"/>
      </w:pPr>
      <w:r>
        <w:t xml:space="preserve">B.2 Robotics and Autonomy (Layer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400"/>
        <w:gridCol w:w="2960"/>
      </w:tblGrid>
      <w:tr>
        <w:trPr>
          <w:tblHeader/>
        </w:trPr>
        <w:tc>
          <w:tcPr>
            <w:tcW w:type="dxa" w:w="18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Company</w:t>
            </w:r>
          </w:p>
        </w:tc>
        <w:tc>
          <w:tcPr>
            <w:tcW w:type="dxa" w:w="2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Status / capital</w:t>
            </w:r>
          </w:p>
        </w:tc>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Capability</w:t>
            </w:r>
          </w:p>
        </w:tc>
        <w:tc>
          <w:tcPr>
            <w:tcW w:type="dxa" w:w="29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Recommendation</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Tesla Optimus</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Internal</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Humanoid mass production</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Internal</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Figure AI</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C $1B+ at $39B post-money (Sep 2025)</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Humanoid + Helix autonomy stack</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equity; selective IP licensing</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Apptronik</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A $935M+; Mercedes/Google partnerships</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Humanoid Apollo platform</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target if available</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Boston Dynamics</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Hyundai-owned; profitable</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Mobility heritage; Atlas/Spot</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Deep partnership</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Lunar Outpost</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B $30M (May 2026)</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MAPP rovers; Starweave swarm autonomy</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 deep partnership</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GITAI</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B $30M+</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Space-specific robotic labour</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target</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Agility Robotics</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B $150M; Amazon deployment</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Bipedal warehouse</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Watching brief</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Astrolab (Venturi)</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via parent</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Lunar Terrain Vehicle</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Watching brief</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Intuitive Machines</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Public (LUNR)</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Lunar Terrain Vehicle</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Watching brief</w:t>
            </w:r>
          </w:p>
        </w:tc>
      </w:tr>
    </w:tbl>
    <w:p>
      <w:pPr>
        <w:spacing w:after="160" w:line="320"/>
        <w:jc w:val="left"/>
      </w:pPr>
      <w:r>
        <w:t xml:space="preserve"> </w:t>
      </w:r>
    </w:p>
    <w:p>
      <w:pPr>
        <w:pStyle w:val="Heading2"/>
      </w:pPr>
      <w:r>
        <w:t xml:space="preserve">B.3 ISRU and Resource Extraction (Layer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400"/>
        <w:gridCol w:w="2960"/>
      </w:tblGrid>
      <w:tr>
        <w:trPr>
          <w:tblHeader/>
        </w:trPr>
        <w:tc>
          <w:tcPr>
            <w:tcW w:type="dxa" w:w="18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Company</w:t>
            </w:r>
          </w:p>
        </w:tc>
        <w:tc>
          <w:tcPr>
            <w:tcW w:type="dxa" w:w="2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Status / capital</w:t>
            </w:r>
          </w:p>
        </w:tc>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Capability</w:t>
            </w:r>
          </w:p>
        </w:tc>
        <w:tc>
          <w:tcPr>
            <w:tcW w:type="dxa" w:w="29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Recommendation</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Pioneer Astronautics</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NASA SBIR Phase III; small private</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MMOST oxygen + iron/steel from regolith</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(high priority)</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Honeybee Robotics</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Blue Origin subsidiary</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Mars drilling/sampling flight heritage</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Deep partnership; acquisition if available</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Interlune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NASA SBIR Phase III $6.9M (2026)</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Lunar prospecting; volatile extraction</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equity / partnership</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Starpath Robotics</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Seed $12M (2024-25)</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Lunar oxygen production</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target</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OffWorld</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Privately funded; NASA partnerships</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Autonomous mining robotics</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target</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AstroForge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~$55M total, Odin mission 2025</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Asteroid resource extraction</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Watching brief; relevant Phase 4+</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TransAstra</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Privately funded</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Asteroid/space resource processing</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Watching brief</w:t>
            </w:r>
          </w:p>
        </w:tc>
      </w:tr>
    </w:tbl>
    <w:p>
      <w:pPr>
        <w:spacing w:after="160" w:line="320"/>
        <w:jc w:val="left"/>
      </w:pPr>
      <w:r>
        <w:t xml:space="preserve"> </w:t>
      </w:r>
    </w:p>
    <w:p>
      <w:pPr>
        <w:pStyle w:val="Heading2"/>
      </w:pPr>
      <w:r>
        <w:t xml:space="preserve">B.4 Surface Power (Layer 4)</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400"/>
        <w:gridCol w:w="2960"/>
      </w:tblGrid>
      <w:tr>
        <w:trPr>
          <w:tblHeader/>
        </w:trPr>
        <w:tc>
          <w:tcPr>
            <w:tcW w:type="dxa" w:w="18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Company</w:t>
            </w:r>
          </w:p>
        </w:tc>
        <w:tc>
          <w:tcPr>
            <w:tcW w:type="dxa" w:w="2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Status / capital</w:t>
            </w:r>
          </w:p>
        </w:tc>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Capability</w:t>
            </w:r>
          </w:p>
        </w:tc>
        <w:tc>
          <w:tcPr>
            <w:tcW w:type="dxa" w:w="29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Recommendation</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NuScale Power</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Public; only NRC-approved SMR design</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77 MWe terrestrial SMR</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partnership; Mars-spec variant</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Oklo</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Public; backed by Sam Altman; ~$1.8B total</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Advanced SMR; Meta deal</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partnership</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X-energy</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Amazon-backed; multi-billion</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TRISO-fuelled SMR</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partnership</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Kairos Power</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Multi-billion total; Google deal</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Molten-salt SMR</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Watching brief</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Radiant Nuclear</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C+ $300M+ (2025)</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Kaleidos 1 MWe transportable</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(high priority)</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Zeno Power</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B $50M</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Am-241 RPS</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Acquisition (high priority)</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Astrobotic (LunaGrid)</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$34.6M NASA Tipping Point</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Surface power transmission</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partnership</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BWXT</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Public defence contractor</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Specialty fuels and reactor mfg</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Commercial partnership</w:t>
            </w:r>
          </w:p>
        </w:tc>
      </w:tr>
    </w:tbl>
    <w:p>
      <w:pPr>
        <w:spacing w:after="160" w:line="320"/>
        <w:jc w:val="left"/>
      </w:pPr>
      <w:r>
        <w:t xml:space="preserve"> </w:t>
      </w:r>
    </w:p>
    <w:p>
      <w:pPr>
        <w:pStyle w:val="Heading2"/>
      </w:pPr>
      <w:r>
        <w:t xml:space="preserve">B.5 Construction, Habitats, Manufacturing (Layer 5)</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400"/>
        <w:gridCol w:w="2960"/>
      </w:tblGrid>
      <w:tr>
        <w:trPr>
          <w:tblHeader/>
        </w:trPr>
        <w:tc>
          <w:tcPr>
            <w:tcW w:type="dxa" w:w="18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Company</w:t>
            </w:r>
          </w:p>
        </w:tc>
        <w:tc>
          <w:tcPr>
            <w:tcW w:type="dxa" w:w="2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Status / capital</w:t>
            </w:r>
          </w:p>
        </w:tc>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Capability</w:t>
            </w:r>
          </w:p>
        </w:tc>
        <w:tc>
          <w:tcPr>
            <w:tcW w:type="dxa" w:w="29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Recommendation</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ICON</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NASA SBIR Phase III $57.2M; Mars Dune Alpha</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Olympus 3D printing for off-world construction</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Deep partnership; NASA contract continues</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Redwire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Public; NASA in-space mfg approval (2025)</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In-space and surface manufacturing</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partnership</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Hadrian</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C $260M</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Robotic factories for aerospace parts</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equity</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Machina Labs</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C $124M (2026); Lockheed Ventures</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Robotic manufacturing of large metal parts</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equity</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Made In Space (Redwire subsidiary)</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Within Redwire</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In-space additive manufacturing</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Within Redwire partnership</w:t>
            </w:r>
          </w:p>
        </w:tc>
      </w:tr>
    </w:tbl>
    <w:p>
      <w:pPr>
        <w:spacing w:after="160" w:line="320"/>
        <w:jc w:val="left"/>
      </w:pPr>
      <w:r>
        <w:t xml:space="preserve"> </w:t>
      </w:r>
    </w:p>
    <w:p>
      <w:pPr>
        <w:pStyle w:val="Heading2"/>
      </w:pPr>
      <w:r>
        <w:t xml:space="preserve">B.6 Communications and Satellite Infrastructure (Layer 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2400"/>
        <w:gridCol w:w="2960"/>
      </w:tblGrid>
      <w:tr>
        <w:trPr>
          <w:tblHeader/>
        </w:trPr>
        <w:tc>
          <w:tcPr>
            <w:tcW w:type="dxa" w:w="18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Company</w:t>
            </w:r>
          </w:p>
        </w:tc>
        <w:tc>
          <w:tcPr>
            <w:tcW w:type="dxa" w:w="2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Status / capital</w:t>
            </w:r>
          </w:p>
        </w:tc>
        <w:tc>
          <w:tcPr>
            <w:tcW w:type="dxa" w:w="24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Capability</w:t>
            </w:r>
          </w:p>
        </w:tc>
        <w:tc>
          <w:tcPr>
            <w:tcW w:type="dxa" w:w="29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Recommendation</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Starlink (SpaceX)</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Internal under Option A merger</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Earth-Mars and surface comms</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Internal</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K2 Space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C $250M at $3B valuation</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Heavy-lift-era satellite buses</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equity</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Muon Space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C+ $200M+</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Sensing satellites; integrated Starlink lasers</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Strategic partnership</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Capella Space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C+ $100M+</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SAR imaging</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Watching brief</w:t>
            </w:r>
          </w:p>
        </w:tc>
      </w:tr>
      <w:tr>
        <w:trPr>
          <w:cantSplit/>
        </w:trPr>
        <w:tc>
          <w:tcPr>
            <w:tcW w:type="dxa" w:w="18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HawkEye 360</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Series D+ $300M+</w:t>
            </w:r>
          </w:p>
        </w:tc>
        <w:tc>
          <w:tcPr>
            <w:tcW w:type="dxa" w:w="24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RF intelligence</w:t>
            </w:r>
          </w:p>
        </w:tc>
        <w:tc>
          <w:tcPr>
            <w:tcW w:type="dxa" w:w="29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Watching brief</w:t>
            </w:r>
          </w:p>
        </w:tc>
      </w:tr>
    </w:tbl>
    <w:p>
      <w:pPr>
        <w:spacing w:after="160" w:line="320"/>
        <w:jc w:val="left"/>
      </w:pPr>
      <w:r>
        <w:t xml:space="preserve"> </w:t>
      </w:r>
    </w:p>
    <w:p>
      <w:pPr>
        <w:pStyle w:val="Heading2"/>
      </w:pPr>
      <w:r>
        <w:t xml:space="preserve">B.7 Total Integration Cost</w:t>
      </w:r>
    </w:p>
    <w:p>
      <w:pPr>
        <w:spacing w:after="160" w:line="320"/>
        <w:jc w:val="left"/>
      </w:pPr>
      <w:r>
        <w:t xml:space="preserve">Summing the recommended acquisitions and strategic partnerships across the six layers, the total Phase 0 and early Phase 1 integration cost is approximately $16–39 billion. This breaks down roughly as:</w:t>
      </w:r>
    </w:p>
    <w:p>
      <w:pPr>
        <w:pStyle w:val="ListParagraph"/>
        <w:numPr>
          <w:ilvl w:val="0"/>
          <w:numId w:val="2"/>
        </w:numPr>
        <w:spacing w:after="100" w:line="300"/>
      </w:pPr>
      <w:r>
        <w:rPr>
          <w:b/>
          <w:bCs/>
        </w:rPr>
        <w:t xml:space="preserve">High-priority acquisitions</w:t>
      </w:r>
      <w:r>
        <w:t xml:space="preserve"> (Pioneer Astronautics, Radiant, Zeno, OffWorld, Starpath, Lunar Outpost, possibly Apptronik): $4–10 billion</w:t>
      </w:r>
    </w:p>
    <w:p>
      <w:pPr>
        <w:pStyle w:val="ListParagraph"/>
        <w:numPr>
          <w:ilvl w:val="0"/>
          <w:numId w:val="2"/>
        </w:numPr>
        <w:spacing w:after="100" w:line="300"/>
      </w:pPr>
      <w:r>
        <w:rPr>
          <w:b/>
          <w:bCs/>
        </w:rPr>
        <w:t xml:space="preserve">Strategic equity stakes</w:t>
      </w:r>
      <w:r>
        <w:t xml:space="preserve"> (Figure, Impulse, Hadrian, Machina, K2): $5–15 billion</w:t>
      </w:r>
    </w:p>
    <w:p>
      <w:pPr>
        <w:pStyle w:val="ListParagraph"/>
        <w:numPr>
          <w:ilvl w:val="0"/>
          <w:numId w:val="2"/>
        </w:numPr>
        <w:spacing w:after="100" w:line="300"/>
      </w:pPr>
      <w:r>
        <w:rPr>
          <w:b/>
          <w:bCs/>
        </w:rPr>
        <w:t xml:space="preserve">Deep partnerships with retention/equity components</w:t>
      </w:r>
      <w:r>
        <w:t xml:space="preserve"> (NuScale, Oklo, X-energy, Honeybee, ICON, Astrobotic): $5–10 billion</w:t>
      </w:r>
    </w:p>
    <w:p>
      <w:pPr>
        <w:pStyle w:val="ListParagraph"/>
        <w:numPr>
          <w:ilvl w:val="0"/>
          <w:numId w:val="2"/>
        </w:numPr>
        <w:spacing w:after="100" w:line="300"/>
      </w:pPr>
      <w:r>
        <w:rPr>
          <w:b/>
          <w:bCs/>
        </w:rPr>
        <w:t xml:space="preserve">Reserve and unexpected</w:t>
      </w:r>
      <w:r>
        <w:t xml:space="preserve">: $2–4 billion</w:t>
      </w:r>
    </w:p>
    <w:p>
      <w:pPr>
        <w:spacing w:after="160" w:line="320"/>
        <w:jc w:val="left"/>
      </w:pPr>
      <w:r>
        <w:t xml:space="preserve">Several of these companies may not be available at any price (Honeybee under Blue Origin, ICON's NASA contract structure). The plan accepts that some target acquisitions will fail and uses deep partnerships as the fallback. The key strategic insight is that the total integration cost is small relative to the overall programme but provides essential capability that would otherwise require billions in internal R&amp;D over many years.</w:t>
      </w:r>
    </w:p>
    <w:p>
      <w:r>
        <w:br w:type="page"/>
      </w:r>
    </w:p>
    <w:p>
      <w:pPr>
        <w:pStyle w:val="Heading1"/>
      </w:pPr>
      <w:r>
        <w:t xml:space="preserve">C. Capital Sources and Investor Map</w:t>
      </w:r>
    </w:p>
    <w:p>
      <w:pPr>
        <w:spacing w:after="160" w:line="320"/>
        <w:jc w:val="left"/>
      </w:pPr>
      <w:r>
        <w:t xml:space="preserve">The $500B–$1T capital requirement is met through diversification across categories. The capital stack diagram (Figure 4) shows the indicative breakdown by source type.</w:t>
      </w:r>
    </w:p>
    <w:p>
      <w:pPr>
        <w:spacing w:after="80" w:before="200"/>
        <w:jc w:val="center"/>
      </w:pPr>
      <w:r>
        <w:drawing>
          <wp:inline distT="0" distB="0" distL="0" distR="0">
            <wp:extent cx="5943600" cy="402336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43600" cy="4023360"/>
                    </a:xfrm>
                    <a:prstGeom prst="rect">
                      <a:avLst/>
                    </a:prstGeom>
                  </pic:spPr>
                </pic:pic>
              </a:graphicData>
            </a:graphic>
          </wp:inline>
        </w:drawing>
      </w:r>
    </w:p>
    <w:p>
      <w:pPr>
        <w:spacing w:after="240" w:before="80"/>
        <w:jc w:val="center"/>
      </w:pPr>
      <w:r>
        <w:rPr>
          <w:i/>
          <w:iCs/>
          <w:color w:val="555555"/>
          <w:sz w:val="18"/>
          <w:szCs w:val="18"/>
        </w:rPr>
        <w:t xml:space="preserve">Figure 4. Indicative capital stack across the 15-year buildout. Diversification across categories is essential — no single source can derail the programme.</w:t>
      </w:r>
    </w:p>
    <w:p>
      <w:pPr>
        <w:pStyle w:val="Heading2"/>
      </w:pPr>
      <w:r>
        <w:t xml:space="preserve">C.1 Sovereign Wealth ($100–200B)</w:t>
      </w:r>
    </w:p>
    <w:p>
      <w:pPr>
        <w:spacing w:after="160" w:line="320"/>
        <w:jc w:val="left"/>
      </w:pPr>
      <w:r>
        <w:t xml:space="preserve">Sovereign wealth funds with mandates that include strategic positioning, technology leadership, or long-term capital allocation are the natural anchor investors. Target funds:</w:t>
      </w:r>
    </w:p>
    <w:p>
      <w:pPr>
        <w:pStyle w:val="ListParagraph"/>
        <w:numPr>
          <w:ilvl w:val="0"/>
          <w:numId w:val="2"/>
        </w:numPr>
        <w:spacing w:after="100" w:line="300"/>
      </w:pPr>
      <w:r>
        <w:rPr>
          <w:b/>
          <w:bCs/>
        </w:rPr>
        <w:t xml:space="preserve">PIF (Saudi Arabia)</w:t>
      </w:r>
      <w:r>
        <w:t xml:space="preserve"> — $900B+ AUM, strategic positioning mandate, prior Tesla relationship, willing to underwrite generational programmes (Vision 2030, NEOM).</w:t>
      </w:r>
    </w:p>
    <w:p>
      <w:pPr>
        <w:pStyle w:val="ListParagraph"/>
        <w:numPr>
          <w:ilvl w:val="0"/>
          <w:numId w:val="2"/>
        </w:numPr>
        <w:spacing w:after="100" w:line="300"/>
      </w:pPr>
      <w:r>
        <w:rPr>
          <w:b/>
          <w:bCs/>
        </w:rPr>
        <w:t xml:space="preserve">Mubadala (UAE)</w:t>
      </w:r>
      <w:r>
        <w:t xml:space="preserve"> — $300B+ AUM, technology and aerospace mandate, prior US tech investments.</w:t>
      </w:r>
    </w:p>
    <w:p>
      <w:pPr>
        <w:pStyle w:val="ListParagraph"/>
        <w:numPr>
          <w:ilvl w:val="0"/>
          <w:numId w:val="2"/>
        </w:numPr>
        <w:spacing w:after="100" w:line="300"/>
      </w:pPr>
      <w:r>
        <w:rPr>
          <w:b/>
          <w:bCs/>
        </w:rPr>
        <w:t xml:space="preserve">Norges Bank Investment Management (Norway)</w:t>
      </w:r>
      <w:r>
        <w:t xml:space="preserve"> — $1.7T+ AUM; conservative public-market mandate but willing to participate at scale.</w:t>
      </w:r>
    </w:p>
    <w:p>
      <w:pPr>
        <w:pStyle w:val="ListParagraph"/>
        <w:numPr>
          <w:ilvl w:val="0"/>
          <w:numId w:val="2"/>
        </w:numPr>
        <w:spacing w:after="100" w:line="300"/>
      </w:pPr>
      <w:r>
        <w:rPr>
          <w:b/>
          <w:bCs/>
        </w:rPr>
        <w:t xml:space="preserve">GIC and Temasek (Singapore)</w:t>
      </w:r>
      <w:r>
        <w:t xml:space="preserve"> — $700B+ combined AUM, technology positioning mandate.</w:t>
      </w:r>
    </w:p>
    <w:p>
      <w:pPr>
        <w:pStyle w:val="ListParagraph"/>
        <w:numPr>
          <w:ilvl w:val="0"/>
          <w:numId w:val="2"/>
        </w:numPr>
        <w:spacing w:after="100" w:line="300"/>
      </w:pPr>
      <w:r>
        <w:rPr>
          <w:b/>
          <w:bCs/>
        </w:rPr>
        <w:t xml:space="preserve">ADIA, ADQ (UAE)</w:t>
      </w:r>
      <w:r>
        <w:t xml:space="preserve"> — $500B+ combined, strategic infrastructure mandate.</w:t>
      </w:r>
    </w:p>
    <w:p>
      <w:pPr>
        <w:pStyle w:val="ListParagraph"/>
        <w:numPr>
          <w:ilvl w:val="0"/>
          <w:numId w:val="2"/>
        </w:numPr>
        <w:spacing w:after="100" w:line="300"/>
      </w:pPr>
      <w:r>
        <w:rPr>
          <w:b/>
          <w:bCs/>
        </w:rPr>
        <w:t xml:space="preserve">CPPIB (Canada)</w:t>
      </w:r>
      <w:r>
        <w:t xml:space="preserve"> — $600B+ AUM, sophisticated long-duration capital allocator.</w:t>
      </w:r>
    </w:p>
    <w:p>
      <w:pPr>
        <w:pStyle w:val="ListParagraph"/>
        <w:numPr>
          <w:ilvl w:val="0"/>
          <w:numId w:val="2"/>
        </w:numPr>
        <w:spacing w:after="100" w:line="300"/>
      </w:pPr>
      <w:r>
        <w:rPr>
          <w:b/>
          <w:bCs/>
        </w:rPr>
        <w:t xml:space="preserve">GPIF (Japan)</w:t>
      </w:r>
      <w:r>
        <w:t xml:space="preserve"> — $1.5T+ AUM, increasingly active in alternatives.</w:t>
      </w:r>
    </w:p>
    <w:p>
      <w:pPr>
        <w:spacing w:after="160" w:line="320"/>
        <w:jc w:val="left"/>
      </w:pPr>
      <w:r>
        <w:t xml:space="preserve">Direct outreach to these funds in Phase 0 should target $100–200B in committed capital over the first four years, deployed over a longer period. Several of these funds have mandates that explicitly favour strategic positioning over pure financial return, which makes Mars an attractive allocation.</w:t>
      </w:r>
    </w:p>
    <w:p>
      <w:pPr>
        <w:pStyle w:val="Heading2"/>
      </w:pPr>
      <w:r>
        <w:t xml:space="preserve">C.2 Project Finance and Debt ($100–300B)</w:t>
      </w:r>
    </w:p>
    <w:p>
      <w:pPr>
        <w:spacing w:after="160" w:line="320"/>
        <w:jc w:val="left"/>
      </w:pPr>
      <w:r>
        <w:t xml:space="preserve">Once the programme demonstrates revenue trajectories (Phase 2 onwards), project finance and debt instruments can fund specific programme components. Mars infrastructure bonds, debt against future propellant production cash flows, asset-backed securities for orbital infrastructure. This is a $100–300 billion category and is the largest single source of Phase 3+ capital.</w:t>
      </w:r>
    </w:p>
    <w:p>
      <w:pPr>
        <w:spacing w:after="160" w:line="320"/>
        <w:jc w:val="left"/>
      </w:pPr>
      <w:r>
        <w:t xml:space="preserve">The debt is principally against expected operating cash flows from launch services, satellite operations, government contracts, and eventually Mars-derived revenues. As the programme matures, the credit profile improves and debt becomes cheaper relative to equity. By Phase 4, project finance may be cost-of-capital advantageous over equity for substantial fractions of new capital deployment.</w:t>
      </w:r>
    </w:p>
    <w:p>
      <w:pPr>
        <w:pStyle w:val="Heading2"/>
      </w:pPr>
      <w:r>
        <w:t xml:space="preserve">C.3 Public Market Equity ($50–100B)</w:t>
      </w:r>
    </w:p>
    <w:p>
      <w:pPr>
        <w:spacing w:after="160" w:line="320"/>
        <w:jc w:val="left"/>
      </w:pPr>
      <w:r>
        <w:t xml:space="preserve">Public market raises against the parent entity (Tesla in Option A; SpaceX post-IPO; the merged entity post-merger) provide $50–100 billion over the buildout. Each major raise is timed to coincide with milestone achievement. The investor base for this is the broader equity market — pension funds, mutual funds, retail investors — willing to accept long-duration commitments to a strategic programme.</w:t>
      </w:r>
    </w:p>
    <w:p>
      <w:pPr>
        <w:spacing w:after="160" w:line="320"/>
        <w:jc w:val="left"/>
      </w:pPr>
      <w:r>
        <w:t xml:space="preserve">The structure of public market raises matters. Targeted offerings (Mars-specific class shares, similar to Berkshire Hathaway B-shares for Tesla's automotive business) allow segmented investor bases. Direct listings and similar structures avoid traditional underwriter friction. The goal is to keep the cost of equity capital low while maintaining flexibility for the operating entity.</w:t>
      </w:r>
    </w:p>
    <w:p>
      <w:pPr>
        <w:pStyle w:val="Heading2"/>
      </w:pPr>
      <w:r>
        <w:t xml:space="preserve">C.4 Government Contracts and Strategic Capital ($50–100B)</w:t>
      </w:r>
    </w:p>
    <w:p>
      <w:pPr>
        <w:spacing w:after="160" w:line="320"/>
        <w:jc w:val="left"/>
      </w:pPr>
      <w:r>
        <w:t xml:space="preserve">NASA Artemis follow-on, ongoing CRS-2 commercial resupply, planetary science contracts, ISRU technology development. DoD interest in lunar logistics infrastructure, expanded substantially under NSTM-3. International partnerships with ESA, JAXA, CSA — operating much like ESA's Galileo programme structure where a consortium of national agencies funds a unified infrastructure. Total: $50–100 billion over 10 years.</w:t>
      </w:r>
    </w:p>
    <w:p>
      <w:pPr>
        <w:spacing w:after="160" w:line="320"/>
        <w:jc w:val="left"/>
      </w:pPr>
      <w:r>
        <w:t xml:space="preserve">Government capital is non-dilutive and prestige-positive (each contract validates the programme's strategic importance). It is also constraining — government contracts come with reporting requirements, technology export controls (ITAR), and political dependency. The strategic balance is to take government capital that aligns with the core programme without letting it shape the programme's direction in ways that compromise execution.</w:t>
      </w:r>
    </w:p>
    <w:p>
      <w:pPr>
        <w:pStyle w:val="Heading2"/>
      </w:pPr>
      <w:r>
        <w:t xml:space="preserve">C.5 Operating Cash Flow ($50–150B)</w:t>
      </w:r>
    </w:p>
    <w:p>
      <w:pPr>
        <w:spacing w:after="160" w:line="320"/>
        <w:jc w:val="left"/>
      </w:pPr>
      <w:r>
        <w:t xml:space="preserve">From Year 5 onward, the operating businesses (Earth Mobility automotive and energy, Launch services, Satellite communications, eventually Off-World Industry) generate substantial cash flow that funds Mars activities. By Phase 4, the operating cash flow alone is sufficient to fund continued Mars expansion without external capital. Cumulative operating cash flow contribution: $50–150 billion over the 25-year programme.</w:t>
      </w:r>
    </w:p>
    <w:p>
      <w:pPr>
        <w:spacing w:after="160" w:line="320"/>
        <w:jc w:val="left"/>
      </w:pPr>
      <w:r>
        <w:t xml:space="preserve">This is the most important single capital source for long-term sustainability. A programme that depends entirely on external capital remains vulnerable to capital market and political shifts. A programme that funds its own steady-state operations from operating cash flow can survive almost any external disruption.</w:t>
      </w:r>
    </w:p>
    <w:p>
      <w:pPr>
        <w:pStyle w:val="Heading2"/>
      </w:pPr>
      <w:r>
        <w:t xml:space="preserve">C.6 Strategic / Big Tech Capital ($20–50B)</w:t>
      </w:r>
    </w:p>
    <w:p>
      <w:pPr>
        <w:spacing w:after="160" w:line="320"/>
        <w:jc w:val="left"/>
      </w:pPr>
      <w:r>
        <w:t xml:space="preserve">Big Tech firms (Google, Amazon, Meta, Microsoft, NVIDIA) have been investing in nuclear, space, and AI infrastructure at multi-billion-dollar scales. Several have direct strategic interest in Mars activities — for compute infrastructure (orbital data centres are increasingly contemplated), for launch capacity (Amazon's Kuiper programme), for AI integration (NVIDIA's investment in Figure). Total: $20–50 billion across partnership-driven structures.</w:t>
      </w:r>
    </w:p>
    <w:p>
      <w:pPr>
        <w:spacing w:after="160" w:line="320"/>
        <w:jc w:val="left"/>
      </w:pPr>
      <w:r>
        <w:t xml:space="preserve">The capital here is principally structured as strategic equity rather than financial investment, with associated commercial commitments (compute purchases, launch capacity, AI integration). It is small relative to other categories but disproportionately valuable for the strategic relationships it establishes.</w:t>
      </w:r>
    </w:p>
    <w:p>
      <w:pPr>
        <w:pStyle w:val="Heading2"/>
      </w:pPr>
      <w:r>
        <w:t xml:space="preserve">C.7 Capital Discipline</w:t>
      </w:r>
    </w:p>
    <w:p>
      <w:pPr>
        <w:spacing w:after="160" w:line="320"/>
        <w:jc w:val="left"/>
      </w:pPr>
      <w:r>
        <w:t xml:space="preserve">Total addressable capital across these categories is $370–900 billion based on plausible commitments from each source. Stretching these toward the upper end requires sustained execution discipline that maintains investor confidence over the 15-year buildout. Loss of discipline in any of several ways (visible failures, political disruption, founder issues, milestone slips) reduces available capital across multiple categories simultaneously.</w:t>
      </w:r>
    </w:p>
    <w:p>
      <w:pPr>
        <w:spacing w:after="160" w:line="320"/>
        <w:jc w:val="left"/>
      </w:pPr>
      <w:r>
        <w:t xml:space="preserve">The programme's ability to draw down capital in line with the plan depends on visible milestone achievement. The biggest risk to capital availability is not the structural capacity of any single category but the loss of confidence that compounds across categories when execution stumbles. The Phase 1 and Phase 2 milestones are therefore critical not just for the technical programme but for the financial trajectory of the entire 25-year effort.</w:t>
      </w:r>
    </w:p>
    <w:p>
      <w:r>
        <w:br w:type="page"/>
      </w:r>
    </w:p>
    <w:p>
      <w:pPr>
        <w:pStyle w:val="Heading1"/>
      </w:pPr>
      <w:r>
        <w:t xml:space="preserve">D. Sources, References, and Further Reading From All Sides</w:t>
      </w:r>
    </w:p>
    <w:p>
      <w:pPr>
        <w:spacing w:after="160" w:line="320"/>
        <w:jc w:val="left"/>
      </w:pPr>
      <w:r>
        <w:t xml:space="preserve">The empirical claims in this document — funding rounds, valuations, contract awards, policy directives — draw from public sources current as of May 2026. This appendix lists the principal categories of sources, indicative references, and recommended further reading from supporters, critics, and skeptics of large-scale Mars activity. The reader is encouraged to verify specific figures, which may have changed since publication.</w:t>
      </w:r>
    </w:p>
    <w:p>
      <w:pPr>
        <w:pStyle w:val="Heading2"/>
      </w:pPr>
      <w:r>
        <w:t xml:space="preserve">D.1 Policy and Government Sources</w:t>
      </w:r>
    </w:p>
    <w:p>
      <w:pPr>
        <w:pStyle w:val="ListParagraph"/>
        <w:numPr>
          <w:ilvl w:val="0"/>
          <w:numId w:val="2"/>
        </w:numPr>
        <w:spacing w:after="100" w:line="300"/>
      </w:pPr>
      <w:r>
        <w:t xml:space="preserve">NSTM-3 / National Initiative for American Space Nuclear Power, OSTP, April 14, 2026.</w:t>
      </w:r>
    </w:p>
    <w:p>
      <w:pPr>
        <w:pStyle w:val="ListParagraph"/>
        <w:numPr>
          <w:ilvl w:val="0"/>
          <w:numId w:val="2"/>
        </w:numPr>
        <w:spacing w:after="100" w:line="300"/>
      </w:pPr>
      <w:r>
        <w:t xml:space="preserve">Artemis Accords (signed 2020 onwards), 50+ signatories.</w:t>
      </w:r>
    </w:p>
    <w:p>
      <w:pPr>
        <w:pStyle w:val="ListParagraph"/>
        <w:numPr>
          <w:ilvl w:val="0"/>
          <w:numId w:val="2"/>
        </w:numPr>
        <w:spacing w:after="100" w:line="300"/>
      </w:pPr>
      <w:r>
        <w:t xml:space="preserve">NASA Authorization Acts, FY2024–2026.</w:t>
      </w:r>
    </w:p>
    <w:p>
      <w:pPr>
        <w:pStyle w:val="ListParagraph"/>
        <w:numPr>
          <w:ilvl w:val="0"/>
          <w:numId w:val="2"/>
        </w:numPr>
        <w:spacing w:after="100" w:line="300"/>
      </w:pPr>
      <w:r>
        <w:t xml:space="preserve">NASA SBIR / STTR Phase III contract announcements.</w:t>
      </w:r>
    </w:p>
    <w:p>
      <w:pPr>
        <w:pStyle w:val="ListParagraph"/>
        <w:numPr>
          <w:ilvl w:val="0"/>
          <w:numId w:val="2"/>
        </w:numPr>
        <w:spacing w:after="100" w:line="300"/>
      </w:pPr>
      <w:r>
        <w:t xml:space="preserve">Department of Energy Advanced Reactor Demonstration Program (ARDP) updates.</w:t>
      </w:r>
    </w:p>
    <w:p>
      <w:pPr>
        <w:pStyle w:val="ListParagraph"/>
        <w:numPr>
          <w:ilvl w:val="0"/>
          <w:numId w:val="2"/>
        </w:numPr>
        <w:spacing w:after="100" w:line="300"/>
      </w:pPr>
      <w:r>
        <w:t xml:space="preserve">NRC microreactor licensing framework documents.</w:t>
      </w:r>
    </w:p>
    <w:p>
      <w:pPr>
        <w:pStyle w:val="ListParagraph"/>
        <w:numPr>
          <w:ilvl w:val="0"/>
          <w:numId w:val="2"/>
        </w:numPr>
        <w:spacing w:after="100" w:line="300"/>
      </w:pPr>
      <w:r>
        <w:t xml:space="preserve">FAA commercial space transportation data.</w:t>
      </w:r>
    </w:p>
    <w:p>
      <w:pPr>
        <w:pStyle w:val="ListParagraph"/>
        <w:numPr>
          <w:ilvl w:val="0"/>
          <w:numId w:val="2"/>
        </w:numPr>
        <w:spacing w:after="100" w:line="300"/>
      </w:pPr>
      <w:r>
        <w:t xml:space="preserve">COSPAR Planetary Protection Policy (current revision).</w:t>
      </w:r>
    </w:p>
    <w:p>
      <w:pPr>
        <w:pStyle w:val="Heading2"/>
      </w:pPr>
      <w:r>
        <w:t xml:space="preserve">D.2 Funding and Corporate Sources</w:t>
      </w:r>
    </w:p>
    <w:p>
      <w:pPr>
        <w:pStyle w:val="ListParagraph"/>
        <w:numPr>
          <w:ilvl w:val="0"/>
          <w:numId w:val="2"/>
        </w:numPr>
        <w:spacing w:after="100" w:line="300"/>
      </w:pPr>
      <w:r>
        <w:t xml:space="preserve">Company-issued press releases and SEC filings (where applicable).</w:t>
      </w:r>
    </w:p>
    <w:p>
      <w:pPr>
        <w:pStyle w:val="ListParagraph"/>
        <w:numPr>
          <w:ilvl w:val="0"/>
          <w:numId w:val="2"/>
        </w:numPr>
        <w:spacing w:after="100" w:line="300"/>
      </w:pPr>
      <w:r>
        <w:t xml:space="preserve">PitchBook, Crunchbase aggregated funding round data.</w:t>
      </w:r>
    </w:p>
    <w:p>
      <w:pPr>
        <w:pStyle w:val="ListParagraph"/>
        <w:numPr>
          <w:ilvl w:val="0"/>
          <w:numId w:val="2"/>
        </w:numPr>
        <w:spacing w:after="100" w:line="300"/>
      </w:pPr>
      <w:r>
        <w:t xml:space="preserve">SpaceNews, Ars Technica space coverage, Payload.space industry briefings.</w:t>
      </w:r>
    </w:p>
    <w:p>
      <w:pPr>
        <w:pStyle w:val="ListParagraph"/>
        <w:numPr>
          <w:ilvl w:val="0"/>
          <w:numId w:val="2"/>
        </w:numPr>
        <w:spacing w:after="100" w:line="300"/>
      </w:pPr>
      <w:r>
        <w:t xml:space="preserve">Seraphim Space Index quarterly reports.</w:t>
      </w:r>
    </w:p>
    <w:p>
      <w:pPr>
        <w:pStyle w:val="ListParagraph"/>
        <w:numPr>
          <w:ilvl w:val="0"/>
          <w:numId w:val="2"/>
        </w:numPr>
        <w:spacing w:after="100" w:line="300"/>
      </w:pPr>
      <w:r>
        <w:t xml:space="preserve">Wing Venture Partners, Space Capital quarterly briefings.</w:t>
      </w:r>
    </w:p>
    <w:p>
      <w:pPr>
        <w:pStyle w:val="ListParagraph"/>
        <w:numPr>
          <w:ilvl w:val="0"/>
          <w:numId w:val="2"/>
        </w:numPr>
        <w:spacing w:after="100" w:line="300"/>
      </w:pPr>
      <w:r>
        <w:t xml:space="preserve">Reuters, Bloomberg specialised coverage of space VC.</w:t>
      </w:r>
    </w:p>
    <w:p>
      <w:pPr>
        <w:pStyle w:val="Heading2"/>
      </w:pPr>
      <w:r>
        <w:t xml:space="preserve">D.3 Technical and Industry Sources</w:t>
      </w:r>
    </w:p>
    <w:p>
      <w:pPr>
        <w:pStyle w:val="ListParagraph"/>
        <w:numPr>
          <w:ilvl w:val="0"/>
          <w:numId w:val="2"/>
        </w:numPr>
        <w:spacing w:after="100" w:line="300"/>
      </w:pPr>
      <w:r>
        <w:t xml:space="preserve">NASA Technical Reports Server (technical papers on ISRU, robotics, surface operations).</w:t>
      </w:r>
    </w:p>
    <w:p>
      <w:pPr>
        <w:pStyle w:val="ListParagraph"/>
        <w:numPr>
          <w:ilvl w:val="0"/>
          <w:numId w:val="2"/>
        </w:numPr>
        <w:spacing w:after="100" w:line="300"/>
      </w:pPr>
      <w:r>
        <w:t xml:space="preserve">AIAA (American Institute of Aeronautics and Astronautics) papers.</w:t>
      </w:r>
    </w:p>
    <w:p>
      <w:pPr>
        <w:pStyle w:val="ListParagraph"/>
        <w:numPr>
          <w:ilvl w:val="0"/>
          <w:numId w:val="2"/>
        </w:numPr>
        <w:spacing w:after="100" w:line="300"/>
      </w:pPr>
      <w:r>
        <w:t xml:space="preserve">IEEE Aerospace Conference proceedings.</w:t>
      </w:r>
    </w:p>
    <w:p>
      <w:pPr>
        <w:pStyle w:val="ListParagraph"/>
        <w:numPr>
          <w:ilvl w:val="0"/>
          <w:numId w:val="2"/>
        </w:numPr>
        <w:spacing w:after="100" w:line="300"/>
      </w:pPr>
      <w:r>
        <w:t xml:space="preserve">Mars Society / Mars Direct foundational analyses (Robert Zubrin et al.).</w:t>
      </w:r>
    </w:p>
    <w:p>
      <w:pPr>
        <w:pStyle w:val="ListParagraph"/>
        <w:numPr>
          <w:ilvl w:val="0"/>
          <w:numId w:val="2"/>
        </w:numPr>
        <w:spacing w:after="100" w:line="300"/>
      </w:pPr>
      <w:r>
        <w:t xml:space="preserve">Robert Freitas, NASA "Advanced Automation for Space Missions" (1980).</w:t>
      </w:r>
    </w:p>
    <w:p>
      <w:pPr>
        <w:pStyle w:val="ListParagraph"/>
        <w:numPr>
          <w:ilvl w:val="0"/>
          <w:numId w:val="2"/>
        </w:numPr>
        <w:spacing w:after="100" w:line="300"/>
      </w:pPr>
      <w:r>
        <w:t xml:space="preserve">Toby Ord, "The Precipice" (2020) — for civilisational risk framing.</w:t>
      </w:r>
    </w:p>
    <w:p>
      <w:pPr>
        <w:pStyle w:val="ListParagraph"/>
        <w:numPr>
          <w:ilvl w:val="0"/>
          <w:numId w:val="2"/>
        </w:numPr>
        <w:spacing w:after="100" w:line="300"/>
      </w:pPr>
      <w:r>
        <w:t xml:space="preserve">Erik Hoel, Avi Loeb, contemporary essays on space ethics.</w:t>
      </w:r>
    </w:p>
    <w:p>
      <w:pPr>
        <w:pStyle w:val="Heading2"/>
      </w:pPr>
      <w:r>
        <w:t xml:space="preserve">D.4 Specific High-Confidence Citations</w:t>
      </w:r>
    </w:p>
    <w:p>
      <w:pPr>
        <w:spacing w:after="160" w:line="320"/>
        <w:jc w:val="left"/>
      </w:pPr>
      <w:r>
        <w:t xml:space="preserve">The following specific claims have been verified against primary sources as of May 2026 and represent the strongest factual anchors in the document:</w:t>
      </w:r>
    </w:p>
    <w:p>
      <w:pPr>
        <w:pStyle w:val="ListParagraph"/>
        <w:numPr>
          <w:ilvl w:val="0"/>
          <w:numId w:val="2"/>
        </w:numPr>
        <w:spacing w:after="100" w:line="300"/>
      </w:pPr>
      <w:r>
        <w:t xml:space="preserve">NSTM-3 issued April 14, 2026; mandates 20 kWe lunar reactor by 2030; orbital reactor by 2031.</w:t>
      </w:r>
    </w:p>
    <w:p>
      <w:pPr>
        <w:pStyle w:val="ListParagraph"/>
        <w:numPr>
          <w:ilvl w:val="0"/>
          <w:numId w:val="2"/>
        </w:numPr>
        <w:spacing w:after="100" w:line="300"/>
      </w:pPr>
      <w:r>
        <w:t xml:space="preserve">Lunar Outpost: $30M Series B announced May 7, 2026, led by Industrious Ventures.</w:t>
      </w:r>
    </w:p>
    <w:p>
      <w:pPr>
        <w:pStyle w:val="ListParagraph"/>
        <w:numPr>
          <w:ilvl w:val="0"/>
          <w:numId w:val="2"/>
        </w:numPr>
        <w:spacing w:after="100" w:line="300"/>
      </w:pPr>
      <w:r>
        <w:t xml:space="preserve">Figure AI: Series C exceeding $1B at $39B post-money valuation, September 2025.</w:t>
      </w:r>
    </w:p>
    <w:p>
      <w:pPr>
        <w:pStyle w:val="ListParagraph"/>
        <w:numPr>
          <w:ilvl w:val="0"/>
          <w:numId w:val="2"/>
        </w:numPr>
        <w:spacing w:after="100" w:line="300"/>
      </w:pPr>
      <w:r>
        <w:t xml:space="preserve">ICON: $57.2M NASA SBIR Phase III contract for Olympus, running through 2028.</w:t>
      </w:r>
    </w:p>
    <w:p>
      <w:pPr>
        <w:pStyle w:val="ListParagraph"/>
        <w:numPr>
          <w:ilvl w:val="0"/>
          <w:numId w:val="2"/>
        </w:numPr>
        <w:spacing w:after="100" w:line="300"/>
      </w:pPr>
      <w:r>
        <w:t xml:space="preserve">Impulse Space: $300M Series C in 2025; total capital approximately $525M.</w:t>
      </w:r>
    </w:p>
    <w:p>
      <w:pPr>
        <w:pStyle w:val="ListParagraph"/>
        <w:numPr>
          <w:ilvl w:val="0"/>
          <w:numId w:val="2"/>
        </w:numPr>
        <w:spacing w:after="100" w:line="300"/>
      </w:pPr>
      <w:r>
        <w:t xml:space="preserve">Apptronik: Over $935M Series A (cumulative); strategic relationships with Mercedes-Benz, GXO, Jabil, Google DeepMind.</w:t>
      </w:r>
    </w:p>
    <w:p>
      <w:pPr>
        <w:pStyle w:val="ListParagraph"/>
        <w:numPr>
          <w:ilvl w:val="0"/>
          <w:numId w:val="2"/>
        </w:numPr>
        <w:spacing w:after="100" w:line="300"/>
      </w:pPr>
      <w:r>
        <w:t xml:space="preserve">NuScale: Only NRC-approved SMR design as of 2026 (77 MWe).</w:t>
      </w:r>
    </w:p>
    <w:p>
      <w:pPr>
        <w:pStyle w:val="ListParagraph"/>
        <w:numPr>
          <w:ilvl w:val="0"/>
          <w:numId w:val="2"/>
        </w:numPr>
        <w:spacing w:after="100" w:line="300"/>
      </w:pPr>
      <w:r>
        <w:t xml:space="preserve">Oklo: Approximately $1.8B total funding; Meta 1.2 GW campus agreement.</w:t>
      </w:r>
    </w:p>
    <w:p>
      <w:pPr>
        <w:pStyle w:val="ListParagraph"/>
        <w:numPr>
          <w:ilvl w:val="0"/>
          <w:numId w:val="2"/>
        </w:numPr>
        <w:spacing w:after="100" w:line="300"/>
      </w:pPr>
      <w:r>
        <w:t xml:space="preserve">Radiant Nuclear: Over $300M in funding announced in 2025 for the Kaleidos microreactor.</w:t>
      </w:r>
    </w:p>
    <w:p>
      <w:pPr>
        <w:pStyle w:val="ListParagraph"/>
        <w:numPr>
          <w:ilvl w:val="0"/>
          <w:numId w:val="2"/>
        </w:numPr>
        <w:spacing w:after="100" w:line="300"/>
      </w:pPr>
      <w:r>
        <w:t xml:space="preserve">Astrobotic LunaGrid: $34.6M NASA Tipping Point award.</w:t>
      </w:r>
    </w:p>
    <w:p>
      <w:pPr>
        <w:pStyle w:val="ListParagraph"/>
        <w:numPr>
          <w:ilvl w:val="0"/>
          <w:numId w:val="2"/>
        </w:numPr>
        <w:spacing w:after="100" w:line="300"/>
      </w:pPr>
      <w:r>
        <w:t xml:space="preserve">Total US/global space VC funding 2025: approximately $12.4B per Seraphim Space Index, with Q1 2026 at $7.95B per Reuters reporting.</w:t>
      </w:r>
    </w:p>
    <w:p>
      <w:pPr>
        <w:pStyle w:val="Heading2"/>
      </w:pPr>
      <w:r>
        <w:t xml:space="preserve">D.5 Conceptual Foundations</w:t>
      </w:r>
    </w:p>
    <w:p>
      <w:pPr>
        <w:pStyle w:val="ListParagraph"/>
        <w:numPr>
          <w:ilvl w:val="0"/>
          <w:numId w:val="2"/>
        </w:numPr>
        <w:spacing w:after="100" w:line="300"/>
      </w:pPr>
      <w:r>
        <w:t xml:space="preserve">Closure problem: Robert Freitas, Ralph Merkle, "Kinematic Self-Replicating Machines" (2004).</w:t>
      </w:r>
    </w:p>
    <w:p>
      <w:pPr>
        <w:pStyle w:val="ListParagraph"/>
        <w:numPr>
          <w:ilvl w:val="0"/>
          <w:numId w:val="2"/>
        </w:numPr>
        <w:spacing w:after="100" w:line="300"/>
      </w:pPr>
      <w:r>
        <w:t xml:space="preserve">Von Neumann self-replicating automata: J. von Neumann, "Theory of Self-Reproducing Automata" (1966, posthumous).</w:t>
      </w:r>
    </w:p>
    <w:p>
      <w:pPr>
        <w:pStyle w:val="ListParagraph"/>
        <w:numPr>
          <w:ilvl w:val="0"/>
          <w:numId w:val="2"/>
        </w:numPr>
        <w:spacing w:after="100" w:line="300"/>
      </w:pPr>
      <w:r>
        <w:t xml:space="preserve">Tipler-Frautschi cosmological probe arguments.</w:t>
      </w:r>
    </w:p>
    <w:p>
      <w:pPr>
        <w:pStyle w:val="ListParagraph"/>
        <w:numPr>
          <w:ilvl w:val="0"/>
          <w:numId w:val="2"/>
        </w:numPr>
        <w:spacing w:after="100" w:line="300"/>
      </w:pPr>
      <w:r>
        <w:t xml:space="preserve">Mars Direct architecture: Robert Zubrin, "The Case for Mars" (1996, 2011).</w:t>
      </w:r>
    </w:p>
    <w:p>
      <w:pPr>
        <w:pStyle w:val="ListParagraph"/>
        <w:numPr>
          <w:ilvl w:val="0"/>
          <w:numId w:val="2"/>
        </w:numPr>
        <w:spacing w:after="100" w:line="300"/>
      </w:pPr>
      <w:r>
        <w:t xml:space="preserve">Mars planning frameworks: NASA Mars Design Reference Architecture 5.0 (2009) and revisions.</w:t>
      </w:r>
    </w:p>
    <w:p>
      <w:pPr>
        <w:pStyle w:val="Heading2"/>
      </w:pPr>
      <w:r>
        <w:t xml:space="preserve">D.6 Further Reading From All Sides</w:t>
      </w:r>
    </w:p>
    <w:p>
      <w:pPr>
        <w:spacing w:after="160" w:line="320"/>
        <w:jc w:val="left"/>
      </w:pPr>
      <w:r>
        <w:t xml:space="preserve">A balanced reading list that engages both the affirmative and critical traditions seriously. The reader is encouraged to read across the categories rather than only within the one closest to their starting position.</w:t>
      </w:r>
    </w:p>
    <w:p>
      <w:pPr>
        <w:pStyle w:val="Heading3"/>
      </w:pPr>
      <w:r>
        <w:t xml:space="preserve">Affirmative tradition</w:t>
      </w:r>
    </w:p>
    <w:p>
      <w:pPr>
        <w:pStyle w:val="ListParagraph"/>
        <w:numPr>
          <w:ilvl w:val="0"/>
          <w:numId w:val="2"/>
        </w:numPr>
        <w:spacing w:after="100" w:line="300"/>
      </w:pPr>
      <w:r>
        <w:t xml:space="preserve">Robert Zubrin, "The Case for Mars" (1996, 2011) and "The Case for Space" (2019). The most developed affirmative case for Mars settlement, including the specific Mars Direct architecture that has influenced subsequent plans.</w:t>
      </w:r>
    </w:p>
    <w:p>
      <w:pPr>
        <w:pStyle w:val="ListParagraph"/>
        <w:numPr>
          <w:ilvl w:val="0"/>
          <w:numId w:val="2"/>
        </w:numPr>
        <w:spacing w:after="100" w:line="300"/>
      </w:pPr>
      <w:r>
        <w:t xml:space="preserve">Toby Ord, "The Precipice: Existential Risk and the Future of Humanity" (2020). The most rigorous version of the civilisational risk hedging argument, in a longtermist framework.</w:t>
      </w:r>
    </w:p>
    <w:p>
      <w:pPr>
        <w:pStyle w:val="ListParagraph"/>
        <w:numPr>
          <w:ilvl w:val="0"/>
          <w:numId w:val="2"/>
        </w:numPr>
        <w:spacing w:after="100" w:line="300"/>
      </w:pPr>
      <w:r>
        <w:t xml:space="preserve">Nick Bostrom, "Astronomical Waste" (2003) and related papers. The philosophical foundations of weighing future human potential heavily.</w:t>
      </w:r>
    </w:p>
    <w:p>
      <w:pPr>
        <w:pStyle w:val="ListParagraph"/>
        <w:numPr>
          <w:ilvl w:val="0"/>
          <w:numId w:val="2"/>
        </w:numPr>
        <w:spacing w:after="100" w:line="300"/>
      </w:pPr>
      <w:r>
        <w:t xml:space="preserve">Carl Sagan, "Pale Blue Dot" (1994). The classic affirmative case for human spacefaring, with caveats that contemporary advocates often elide.</w:t>
      </w:r>
    </w:p>
    <w:p>
      <w:pPr>
        <w:pStyle w:val="Heading3"/>
      </w:pPr>
      <w:r>
        <w:t xml:space="preserve">Critical tradition</w:t>
      </w:r>
    </w:p>
    <w:p>
      <w:pPr>
        <w:pStyle w:val="ListParagraph"/>
        <w:numPr>
          <w:ilvl w:val="0"/>
          <w:numId w:val="2"/>
        </w:numPr>
        <w:spacing w:after="100" w:line="300"/>
      </w:pPr>
      <w:r>
        <w:t xml:space="preserve">Daniel Deudney, "Dark Skies: Space Expansionism, Planetary Geopolitics, and the Ends of Humanity" (2020). The most developed critical case, focused on geopolitical and concentration concerns. Required reading for anyone who finds the affirmative case obvious.</w:t>
      </w:r>
    </w:p>
    <w:p>
      <w:pPr>
        <w:pStyle w:val="ListParagraph"/>
        <w:numPr>
          <w:ilvl w:val="0"/>
          <w:numId w:val="2"/>
        </w:numPr>
        <w:spacing w:after="100" w:line="300"/>
      </w:pPr>
      <w:r>
        <w:t xml:space="preserve">Erika Nesvold, "Off-Earth: Ethical Questions and Quandaries for Living in Outer Space" (2023). Careful examination of governance, consent, and ethical questions in space settlement.</w:t>
      </w:r>
    </w:p>
    <w:p>
      <w:pPr>
        <w:pStyle w:val="ListParagraph"/>
        <w:numPr>
          <w:ilvl w:val="0"/>
          <w:numId w:val="2"/>
        </w:numPr>
        <w:spacing w:after="100" w:line="300"/>
      </w:pPr>
      <w:r>
        <w:t xml:space="preserve">Mary-Jane Rubenstein, "Astrotopia: The Dangerous Religion of the Corporate Space Race" (2022). Critical examination of the ideological frames of contemporary space programmes.</w:t>
      </w:r>
    </w:p>
    <w:p>
      <w:pPr>
        <w:pStyle w:val="ListParagraph"/>
        <w:numPr>
          <w:ilvl w:val="0"/>
          <w:numId w:val="2"/>
        </w:numPr>
        <w:spacing w:after="100" w:line="300"/>
      </w:pPr>
      <w:r>
        <w:t xml:space="preserve">Linda Billings, various papers in Space Policy and elsewhere. Sustained critique of space advocacy rhetoric and its institutional effects.</w:t>
      </w:r>
    </w:p>
    <w:p>
      <w:pPr>
        <w:pStyle w:val="Heading3"/>
      </w:pPr>
      <w:r>
        <w:t xml:space="preserve">Planetary protection and astrobiology</w:t>
      </w:r>
    </w:p>
    <w:p>
      <w:pPr>
        <w:pStyle w:val="ListParagraph"/>
        <w:numPr>
          <w:ilvl w:val="0"/>
          <w:numId w:val="2"/>
        </w:numPr>
        <w:spacing w:after="100" w:line="300"/>
      </w:pPr>
      <w:r>
        <w:t xml:space="preserve">COSPAR Planetary Protection Policy (current revision). The international framework that governs forward and backward contamination.</w:t>
      </w:r>
    </w:p>
    <w:p>
      <w:pPr>
        <w:pStyle w:val="ListParagraph"/>
        <w:numPr>
          <w:ilvl w:val="0"/>
          <w:numId w:val="2"/>
        </w:numPr>
        <w:spacing w:after="100" w:line="300"/>
      </w:pPr>
      <w:r>
        <w:t xml:space="preserve">National Academies of Sciences, "Planetary Protection for the Study of Lunar Volatiles" (2023) and related reports. Indicative of the ongoing scientific debate over contamination protocols.</w:t>
      </w:r>
    </w:p>
    <w:p>
      <w:pPr>
        <w:pStyle w:val="ListParagraph"/>
        <w:numPr>
          <w:ilvl w:val="0"/>
          <w:numId w:val="2"/>
        </w:numPr>
        <w:spacing w:after="100" w:line="300"/>
      </w:pPr>
      <w:r>
        <w:t xml:space="preserve">Charles Cockell, "Astrobiology: A Brief Introduction" (2015) and related papers on extremophile biology and Mars habitability.</w:t>
      </w:r>
    </w:p>
    <w:p>
      <w:pPr>
        <w:pStyle w:val="Heading3"/>
      </w:pPr>
      <w:r>
        <w:t xml:space="preserve">Space economy and policy</w:t>
      </w:r>
    </w:p>
    <w:p>
      <w:pPr>
        <w:pStyle w:val="ListParagraph"/>
        <w:numPr>
          <w:ilvl w:val="0"/>
          <w:numId w:val="2"/>
        </w:numPr>
        <w:spacing w:after="100" w:line="300"/>
      </w:pPr>
      <w:r>
        <w:t xml:space="preserve">Matthew Weinzierl, various Harvard Business School papers on the commercial space economy.</w:t>
      </w:r>
    </w:p>
    <w:p>
      <w:pPr>
        <w:pStyle w:val="ListParagraph"/>
        <w:numPr>
          <w:ilvl w:val="0"/>
          <w:numId w:val="2"/>
        </w:numPr>
        <w:spacing w:after="100" w:line="300"/>
      </w:pPr>
      <w:r>
        <w:t xml:space="preserve">Christopher Newman, "Space Law" — for the international legal framework.</w:t>
      </w:r>
    </w:p>
    <w:p>
      <w:pPr>
        <w:pStyle w:val="ListParagraph"/>
        <w:numPr>
          <w:ilvl w:val="0"/>
          <w:numId w:val="2"/>
        </w:numPr>
        <w:spacing w:after="100" w:line="300"/>
      </w:pPr>
      <w:r>
        <w:t xml:space="preserve">Jeff Foust, "The Space Review" ongoing coverage — for industry context.</w:t>
      </w:r>
    </w:p>
    <w:p>
      <w:pPr>
        <w:pStyle w:val="Heading3"/>
      </w:pPr>
      <w:r>
        <w:t xml:space="preserve">Political economy and concentration</w:t>
      </w:r>
    </w:p>
    <w:p>
      <w:pPr>
        <w:pStyle w:val="ListParagraph"/>
        <w:numPr>
          <w:ilvl w:val="0"/>
          <w:numId w:val="2"/>
        </w:numPr>
        <w:spacing w:after="100" w:line="300"/>
      </w:pPr>
      <w:r>
        <w:t xml:space="preserve">Tim Wu, "The Curse of Bigness" (2018). Modern restatement of antitrust principles relevant to platform-scale concentrations.</w:t>
      </w:r>
    </w:p>
    <w:p>
      <w:pPr>
        <w:pStyle w:val="ListParagraph"/>
        <w:numPr>
          <w:ilvl w:val="0"/>
          <w:numId w:val="2"/>
        </w:numPr>
        <w:spacing w:after="100" w:line="300"/>
      </w:pPr>
      <w:r>
        <w:t xml:space="preserve">Brett Christophers, "Our Lives in Their Portfolios" (2023). Analysis of how concentrated capital reshapes economies, relevant to questions about the Mars programme's structure.</w:t>
      </w:r>
    </w:p>
    <w:p>
      <w:pPr>
        <w:pStyle w:val="ListParagraph"/>
        <w:numPr>
          <w:ilvl w:val="0"/>
          <w:numId w:val="2"/>
        </w:numPr>
        <w:spacing w:after="100" w:line="300"/>
      </w:pPr>
      <w:r>
        <w:t xml:space="preserve">Shoshana Zuboff, "The Age of Surveillance Capitalism" (2019). Analysis of how scale and capability translate into political influence in modern technology firms.</w:t>
      </w:r>
    </w:p>
    <w:p>
      <w:pPr>
        <w:pStyle w:val="Heading3"/>
      </w:pPr>
      <w:r>
        <w:t xml:space="preserve">Ethical frameworks</w:t>
      </w:r>
    </w:p>
    <w:p>
      <w:pPr>
        <w:pStyle w:val="ListParagraph"/>
        <w:numPr>
          <w:ilvl w:val="0"/>
          <w:numId w:val="2"/>
        </w:numPr>
        <w:spacing w:after="100" w:line="300"/>
      </w:pPr>
      <w:r>
        <w:t xml:space="preserve">Holmes Rolston III, various papers on environmental ethics applied to space.</w:t>
      </w:r>
    </w:p>
    <w:p>
      <w:pPr>
        <w:pStyle w:val="ListParagraph"/>
        <w:numPr>
          <w:ilvl w:val="0"/>
          <w:numId w:val="2"/>
        </w:numPr>
        <w:spacing w:after="100" w:line="300"/>
      </w:pPr>
      <w:r>
        <w:t xml:space="preserve">Kim Stanley Robinson, "Mars" trilogy (1992-1996). Fiction, but the most thorough working through of the political and ethical questions of Mars settlement, presenting multiple positions seriously.</w:t>
      </w:r>
    </w:p>
    <w:p>
      <w:pPr>
        <w:pStyle w:val="ListParagraph"/>
        <w:numPr>
          <w:ilvl w:val="0"/>
          <w:numId w:val="2"/>
        </w:numPr>
        <w:spacing w:after="100" w:line="300"/>
      </w:pPr>
      <w:r>
        <w:t xml:space="preserve">Indigenous philosophical traditions on relationship with land, particularly as applied to space contexts by writers like Hilding Neilson, are increasingly relevant.</w:t>
      </w:r>
    </w:p>
    <w:p>
      <w:pPr>
        <w:spacing w:after="160" w:line="320"/>
        <w:jc w:val="left"/>
      </w:pPr>
      <w:r>
        <w:t xml:space="preserve"> </w:t>
      </w:r>
    </w:p>
    <w:p>
      <w:pPr>
        <w:spacing w:after="160" w:line="320"/>
        <w:jc w:val="left"/>
      </w:pPr>
      <w:r>
        <w:t xml:space="preserve">A note on figures: all dollar amounts are in US dollars. All dates are CE / Common Era. All specific company funding amounts and government contract values are best-available public information as of May 2026 and may have changed since publication. The reader is encouraged to verify any specific figure that materially affects their interpretation of the document's arguments.</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8"/>
        <w:szCs w:val="18"/>
      </w:rPr>
      <w:t xml:space="preserve">Mars Reference · Doc 7 of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pageBreakBefore/>
      <w:spacing w:after="240" w:before="320"/>
    </w:pPr>
    <w:rPr>
      <w:rFonts w:ascii="Calibri" w:cs="Calibri" w:eastAsia="Calibri" w:hAnsi="Calibri"/>
      <w:b/>
      <w:bCs/>
      <w:color w:val="1F3A6B"/>
      <w:sz w:val="36"/>
      <w:szCs w:val="36"/>
    </w:rPr>
  </w:style>
  <w:style w:type="paragraph" w:styleId="Heading2">
    <w:name w:val="Heading 2"/>
    <w:basedOn w:val="Normal"/>
    <w:next w:val="Normal"/>
    <w:qFormat/>
    <w:pPr>
      <w:spacing w:after="160" w:before="280"/>
    </w:pPr>
    <w:rPr>
      <w:rFonts w:ascii="Calibri" w:cs="Calibri" w:eastAsia="Calibri" w:hAnsi="Calibri"/>
      <w:b/>
      <w:bCs/>
      <w:color w:val="1F3A6B"/>
      <w:sz w:val="28"/>
      <w:szCs w:val="28"/>
    </w:rPr>
  </w:style>
  <w:style w:type="paragraph" w:styleId="Heading3">
    <w:name w:val="Heading 3"/>
    <w:basedOn w:val="Normal"/>
    <w:next w:val="Normal"/>
    <w:qFormat/>
    <w:pPr>
      <w:spacing w:after="140" w:before="240"/>
    </w:pPr>
    <w:rPr>
      <w:rFonts w:ascii="Calibri" w:cs="Calibri" w:eastAsia="Calibri" w:hAnsi="Calibri"/>
      <w:b/>
      <w:bCs/>
      <w:i/>
      <w:iCs/>
      <w:color w:val="1F3A6B"/>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1ffe8821f889d93c2a4a9e5be5abb1915a37c3a1.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 Industrialisation — Reference Materials</dc:title>
  <dc:creator>Building Mars document set</dc:creator>
  <dc:description>Document 7 of 6: Assumptions, companies, capital, sources</dc:description>
  <cp:lastModifiedBy>Un-named</cp:lastModifiedBy>
  <cp:revision>1</cp:revision>
  <dcterms:created xsi:type="dcterms:W3CDTF">2026-05-09T11:39:36.746Z</dcterms:created>
  <dcterms:modified xsi:type="dcterms:W3CDTF">2026-05-09T11:39:36.746Z</dcterms:modified>
</cp:coreProperties>
</file>

<file path=docProps/custom.xml><?xml version="1.0" encoding="utf-8"?>
<Properties xmlns="http://schemas.openxmlformats.org/officeDocument/2006/custom-properties" xmlns:vt="http://schemas.openxmlformats.org/officeDocument/2006/docPropsVTypes"/>
</file>