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00" w:before="1200"/>
        <w:jc w:val="center"/>
      </w:pPr>
      <w:r>
        <w:rPr>
          <w:b/>
          <w:bCs/>
          <w:sz w:val="56"/>
          <w:szCs w:val="56"/>
        </w:rPr>
        <w:t xml:space="preserve">Mars Industrialisation</w:t>
      </w:r>
    </w:p>
    <w:p>
      <w:pPr>
        <w:spacing w:after="200"/>
        <w:jc w:val="center"/>
      </w:pPr>
      <w:r>
        <w:rPr>
          <w:i/>
          <w:iCs/>
          <w:sz w:val="36"/>
          <w:szCs w:val="36"/>
        </w:rPr>
        <w:t xml:space="preserve">Policy White Paper</w:t>
      </w:r>
    </w:p>
    <w:p>
      <w:pPr>
        <w:spacing w:after="600"/>
        <w:jc w:val="center"/>
      </w:pPr>
      <w:r>
        <w:rPr>
          <w:sz w:val="24"/>
          <w:szCs w:val="24"/>
        </w:rPr>
        <w:t xml:space="preserve">Regulatory and International Framework</w:t>
      </w:r>
    </w:p>
    <w:p>
      <w:pPr>
        <w:spacing w:after="200"/>
        <w:jc w:val="center"/>
      </w:pPr>
      <w:r>
        <w:rPr>
          <w:i/>
          <w:iCs/>
          <w:color w:val="666666"/>
          <w:sz w:val="18"/>
          <w:szCs w:val="18"/>
        </w:rPr>
        <w:t xml:space="preserve">Document 2 of 6 in the Building Mars set</w:t>
      </w:r>
    </w:p>
    <w:p>
      <w:pPr>
        <w:spacing w:after="1200"/>
        <w:jc w:val="center"/>
      </w:pPr>
      <w:r>
        <w:rPr>
          <w:sz w:val="22"/>
          <w:szCs w:val="22"/>
        </w:rPr>
        <w:t xml:space="preserve">May 2026</w:t>
      </w:r>
    </w:p>
    <w:p>
      <w:r>
        <w:br w:type="page"/>
      </w:r>
    </w:p>
    <w:p>
      <w:pPr>
        <w:pStyle w:val="Heading1"/>
      </w:pPr>
      <w:r>
        <w:t xml:space="preserve">Audience and Purpose</w:t>
      </w:r>
    </w:p>
    <w:p>
      <w:pPr>
        <w:spacing w:after="160" w:line="320"/>
        <w:jc w:val="left"/>
      </w:pPr>
      <w:r>
        <w:t xml:space="preserve">This paper is written for policymakers, regulators, and international affairs analysts who must take positions on specific questions related to large-scale Mars industrialisation. It does not advocate for or against the programme proceeding. It identifies the policy questions that are decision-forcing, the positions that exist on each, and the regulatory and international choices implicit in supporting different paths forward.</w:t>
      </w:r>
    </w:p>
    <w:p>
      <w:pPr>
        <w:spacing w:after="160" w:line="320"/>
        <w:jc w:val="left"/>
      </w:pPr>
      <w:r>
        <w:t xml:space="preserve">The questions covered include nuclear regulation, antitrust posture, planetary protection framework, ITAR and export control, international coordination structures, militarisation limits, treaty work, and labour market policy. These are not all federal questions — many require multilateral coordination that current institutional capacity is not well positioned to deliver.</w:t>
      </w:r>
    </w:p>
    <w:p>
      <w:pPr>
        <w:spacing w:after="160" w:line="320"/>
        <w:jc w:val="left"/>
      </w:pPr>
      <w:r>
        <w:t xml:space="preserve">The paper assumes the reader is familiar with the basic shape of the project (private-sector-led Mars industrialisation through integration of existing space-industrial markets, $500B–$1T capital over 15 years). For technical detail see Document 3; for the structural critique see Document 4; for ethical analysis see Document 6.</w:t>
      </w:r>
    </w:p>
    <w:p>
      <w:r>
        <w:br w:type="page"/>
      </w:r>
    </w:p>
    <w:p>
      <w:pPr>
        <w:pStyle w:val="Heading1"/>
      </w:pPr>
      <w:r>
        <w:t xml:space="preserve">Executive Summary</w:t>
      </w:r>
    </w:p>
    <w:p>
      <w:pPr>
        <w:spacing w:after="160" w:line="320"/>
        <w:jc w:val="left"/>
      </w:pPr>
      <w:r>
        <w:rPr>
          <w:b/>
          <w:bCs/>
        </w:rPr>
        <w:t xml:space="preserve">The decision-forcing questions.</w:t>
      </w:r>
      <w:r>
        <w:t xml:space="preserve"> Several regulatory and policy questions are already in motion and require positions in the next 12–36 months regardless of how the broader programme is viewed. NSTM-3 implementation, NRC pathway for launch-rated nuclear, FCC spectrum allocation for Mars communications, antitrust posture toward potential merger, and ITAR review of the integrated entity are all live questions.</w:t>
      </w:r>
    </w:p>
    <w:p>
      <w:pPr>
        <w:spacing w:after="160" w:line="320"/>
        <w:jc w:val="left"/>
      </w:pPr>
      <w:r>
        <w:rPr>
          <w:b/>
          <w:bCs/>
        </w:rPr>
        <w:t xml:space="preserve">The international coordination question is the most consequential and most underdeveloped.</w:t>
      </w:r>
      <w:r>
        <w:t xml:space="preserve"> The current legal framework (Outer Space Treaty 1967 plus Artemis Accords 2020) is inadequate for industrial-scale activity. New treaty work would take 10–20 years and may not succeed. The policy choice is whether to proceed without adequate framework and let facts on the ground constrain future negotiation, or to delay industrial activity until framework exists. Both have substantial costs.</w:t>
      </w:r>
    </w:p>
    <w:p>
      <w:pPr>
        <w:spacing w:after="160" w:line="320"/>
        <w:jc w:val="left"/>
      </w:pPr>
      <w:r>
        <w:rPr>
          <w:b/>
          <w:bCs/>
        </w:rPr>
        <w:t xml:space="preserve">Seven governance options exist; only three are corporate.</w:t>
      </w:r>
      <w:r>
        <w:t xml:space="preserve"> Earlier framings of the question presented only the corporate options. Treaty body, sovereign consortium, CERN-style multinational, and public utility / open protocol structures are all credible alternatives that distribute concentration differently. A policy environment that supports only the corporate options narrows the space of feasible outcomes substantially.</w:t>
      </w:r>
    </w:p>
    <w:p>
      <w:pPr>
        <w:spacing w:after="160" w:line="320"/>
        <w:jc w:val="left"/>
      </w:pPr>
      <w:r>
        <w:rPr>
          <w:b/>
          <w:bCs/>
        </w:rPr>
        <w:t xml:space="preserve">The militarisation question may not be containable.</w:t>
      </w:r>
      <w:r>
        <w:t xml:space="preserve"> A heavy industrial presence on the Moon and Mars with autonomous robot fleets, nuclear power, and integrated communications has obvious dual-use implications. The policy choice is whether to accept this as inevitable and structure for safety, or to attempt limitations that may be infeasible but reduce escalation pressure.</w:t>
      </w:r>
    </w:p>
    <w:p>
      <w:pPr>
        <w:spacing w:after="160" w:line="320"/>
        <w:jc w:val="left"/>
      </w:pPr>
      <w:r>
        <w:rPr>
          <w:b/>
          <w:bCs/>
        </w:rPr>
        <w:t xml:space="preserve">Several common framings are not policy-neutral.</w:t>
      </w:r>
      <w:r>
        <w:t xml:space="preserve"> "Tailwind" framing of NSTM-3, references to Mars activity as inevitable, and assumption that the project will be corporate-led each subtly tilt the policy environment toward specific outcomes. Policymakers should be aware of these framings even when they appear in technical documents.</w:t>
      </w:r>
    </w:p>
    <w:p>
      <w:r>
        <w:br w:type="page"/>
      </w:r>
    </w:p>
    <w:p>
      <w:pPr>
        <w:pStyle w:val="Heading1"/>
      </w:pPr>
      <w:r>
        <w:t xml:space="preserve">1. NSTM-3 Carefully Read</w:t>
      </w:r>
    </w:p>
    <w:p>
      <w:pPr>
        <w:spacing w:after="160" w:line="320"/>
        <w:jc w:val="left"/>
      </w:pPr>
      <w:r>
        <w:t xml:space="preserve">The April 14, 2026 release of the National Initiative for American Space Nuclear Power (NSTM-3) by the Office of Science and Technology Policy is the most material change in the policy environment for space nuclear in decades. Both advocates and critics overstate aspects of the directive.</w:t>
      </w:r>
    </w:p>
    <w:p>
      <w:pPr>
        <w:pStyle w:val="Heading2"/>
      </w:pPr>
      <w:r>
        <w:t xml:space="preserve">1.1 What NSTM-3 Mandates</w:t>
      </w:r>
    </w:p>
    <w:p>
      <w:pPr>
        <w:spacing w:after="160" w:line="320"/>
        <w:jc w:val="left"/>
      </w:pPr>
      <w:r>
        <w:t xml:space="preserve">The directive sets four concrete deliverables:</w:t>
      </w:r>
    </w:p>
    <w:p>
      <w:pPr>
        <w:pStyle w:val="ListParagraph"/>
        <w:numPr>
          <w:ilvl w:val="0"/>
          <w:numId w:val="2"/>
        </w:numPr>
        <w:spacing w:after="100" w:line="300"/>
      </w:pPr>
      <w:r>
        <w:t xml:space="preserve">NASA mandated to deliver a mid-power lunar surface fission reactor (at minimum 20 kilowatts electric, with extensibility to higher powers) ready for launch by 2030.</w:t>
      </w:r>
    </w:p>
    <w:p>
      <w:pPr>
        <w:pStyle w:val="ListParagraph"/>
        <w:numPr>
          <w:ilvl w:val="0"/>
          <w:numId w:val="2"/>
        </w:numPr>
        <w:spacing w:after="100" w:line="300"/>
      </w:pPr>
      <w:r>
        <w:t xml:space="preserve">Department of Defense mandated to deliver an orbital fission reactor by 2031.</w:t>
      </w:r>
    </w:p>
    <w:p>
      <w:pPr>
        <w:pStyle w:val="ListParagraph"/>
        <w:numPr>
          <w:ilvl w:val="0"/>
          <w:numId w:val="2"/>
        </w:numPr>
        <w:spacing w:after="100" w:line="300"/>
      </w:pPr>
      <w:r>
        <w:t xml:space="preserve">DoE and DoD tasked with assessing and supporting the US industrial base for manufacturing space-rated nuclear systems.</w:t>
      </w:r>
    </w:p>
    <w:p>
      <w:pPr>
        <w:pStyle w:val="ListParagraph"/>
        <w:numPr>
          <w:ilvl w:val="0"/>
          <w:numId w:val="2"/>
        </w:numPr>
        <w:spacing w:after="100" w:line="300"/>
      </w:pPr>
      <w:r>
        <w:t xml:space="preserve">NRC and FAA tasked with streamlining the licensing pathway for launch-rated nuclear systems.</w:t>
      </w:r>
    </w:p>
    <w:p>
      <w:pPr>
        <w:spacing w:after="160" w:line="320"/>
        <w:jc w:val="left"/>
      </w:pPr>
      <w:r>
        <w:t xml:space="preserve">What is and is not in this list deserves careful attention. The 20 kWe lunar reactor is real with a hard 2030 date. Megawatt-class systems are explicitly contemplated as future extensions but are not mandated for any specific date. There is no Mars-specific deliverable.</w:t>
      </w:r>
    </w:p>
    <w:p>
      <w:pPr>
        <w:pStyle w:val="Heading2"/>
      </w:pPr>
      <w:r>
        <w:t xml:space="preserve">1.2 What the Directive Does Not Settle</w:t>
      </w:r>
    </w:p>
    <w:p>
      <w:pPr>
        <w:spacing w:after="160" w:line="320"/>
        <w:jc w:val="left"/>
      </w:pPr>
      <w:r>
        <w:t xml:space="preserve">Three things should be flagged because the most enthusiastic readings elide them.</w:t>
      </w:r>
    </w:p>
    <w:p>
      <w:pPr>
        <w:spacing w:after="160" w:line="320"/>
        <w:jc w:val="left"/>
      </w:pPr>
      <w:r>
        <w:rPr>
          <w:b/>
          <w:bCs/>
        </w:rPr>
        <w:t xml:space="preserve">The directive resolves a regulatory question without resolving a deeper political question.</w:t>
      </w:r>
      <w:r>
        <w:t xml:space="preserve"> It enables launch-rated nuclear development; it does not authorise the broader project of industrial-scale nuclear deployment on another planet by a single corporate entity. The political consensus that supports lunar reactors for Artemis is not the same as the consensus that would be required for industrial-scale Mars nuclear deployment.</w:t>
      </w:r>
    </w:p>
    <w:p>
      <w:pPr>
        <w:spacing w:after="160" w:line="320"/>
        <w:jc w:val="left"/>
      </w:pPr>
      <w:r>
        <w:rPr>
          <w:b/>
          <w:bCs/>
        </w:rPr>
        <w:t xml:space="preserve">The commercial structure is itself a contested choice.</w:t>
      </w:r>
      <w:r>
        <w:t xml:space="preserve"> Streamlined licensing concentrates competitive advantage in vendors already positioned for it (NuScale, Oklo) and disadvantages alternative reactor architectures and new entrants. From a Mars-plan standpoint this is an advantage; from a broader policy standpoint it is debated.</w:t>
      </w:r>
    </w:p>
    <w:p>
      <w:pPr>
        <w:spacing w:after="160" w:line="320"/>
        <w:jc w:val="left"/>
      </w:pPr>
      <w:r>
        <w:rPr>
          <w:b/>
          <w:bCs/>
        </w:rPr>
        <w:t xml:space="preserve">NSTM-3 is silent on planetary protection.</w:t>
      </w:r>
      <w:r>
        <w:t xml:space="preserve"> Whether nuclear-powered industrial activity should occur near subsurface ice deposits, what contamination protocols apply at scale, how scientific reserves are designated and protected — none of this is addressed. The directive enables a technology pathway without establishing how the pathway should be used.</w:t>
      </w:r>
    </w:p>
    <w:p>
      <w:pPr>
        <w:pStyle w:val="Heading2"/>
      </w:pPr>
      <w:r>
        <w:t xml:space="preserve">1.3 Implementation Risks</w:t>
      </w:r>
    </w:p>
    <w:p>
      <w:pPr>
        <w:spacing w:after="160" w:line="320"/>
        <w:jc w:val="left"/>
      </w:pPr>
      <w:r>
        <w:t xml:space="preserve">Implementation risks materially affect the broader programme regardless of policymaker views on the broader programme:</w:t>
      </w:r>
    </w:p>
    <w:p>
      <w:pPr>
        <w:spacing w:after="160" w:line="320"/>
        <w:jc w:val="left"/>
      </w:pPr>
      <w:r>
        <w:rPr>
          <w:b/>
          <w:bCs/>
        </w:rPr>
        <w:t xml:space="preserve">Reversibility.</w:t>
      </w:r>
      <w:r>
        <w:t xml:space="preserve"> NSTM-3 is a directive, not a law. A future administration could reverse it, slow it, or fail to fund it. The political constituency that produced the directive is bipartisan but not deep, and competitive pressure from China is part of the underlying motivation; if that pressure shifts, support could shift.</w:t>
      </w:r>
    </w:p>
    <w:p>
      <w:pPr>
        <w:spacing w:after="160" w:line="320"/>
        <w:jc w:val="left"/>
      </w:pPr>
      <w:r>
        <w:rPr>
          <w:b/>
          <w:bCs/>
        </w:rPr>
        <w:t xml:space="preserve">Schedule risk.</w:t>
      </w:r>
      <w:r>
        <w:t xml:space="preserve"> The federally mandated 2030 lunar reactor could fail to meet its date, slipping into 2032–2033 and pulling Mars timelines proportionally. Schedule slippage is the historical norm for novel space hardware programmes.</w:t>
      </w:r>
    </w:p>
    <w:p>
      <w:pPr>
        <w:spacing w:after="160" w:line="320"/>
        <w:jc w:val="left"/>
      </w:pPr>
      <w:r>
        <w:rPr>
          <w:b/>
          <w:bCs/>
        </w:rPr>
        <w:t xml:space="preserve">Fuel supply.</w:t>
      </w:r>
      <w:r>
        <w:t xml:space="preserve"> HALEU production capacity is currently constrained globally. The federal programme will absorb most available capacity through 2030; Mars surface deployment depends on substantial expansion. Without explicit policy support for fuel production capacity, reactor manufacturing capacity becomes the binding constraint.</w:t>
      </w:r>
    </w:p>
    <w:p>
      <w:pPr>
        <w:pStyle w:val="Heading2"/>
      </w:pPr>
      <w:r>
        <w:t xml:space="preserve">1.4 Decision Points for Policymakers</w:t>
      </w:r>
    </w:p>
    <w:p>
      <w:pPr>
        <w:spacing w:after="160" w:line="320"/>
        <w:jc w:val="left"/>
      </w:pPr>
      <w:r>
        <w:t xml:space="preserve">In the next 12–36 months, several specific decisions are forced:</w:t>
      </w:r>
    </w:p>
    <w:p>
      <w:pPr>
        <w:pStyle w:val="ListParagraph"/>
        <w:numPr>
          <w:ilvl w:val="0"/>
          <w:numId w:val="2"/>
        </w:numPr>
        <w:spacing w:after="100" w:line="300"/>
      </w:pPr>
      <w:r>
        <w:t xml:space="preserve">NRC pathway design for launch-rated nuclear — current process or new framework.</w:t>
      </w:r>
    </w:p>
    <w:p>
      <w:pPr>
        <w:pStyle w:val="ListParagraph"/>
        <w:numPr>
          <w:ilvl w:val="0"/>
          <w:numId w:val="2"/>
        </w:numPr>
        <w:spacing w:after="100" w:line="300"/>
      </w:pPr>
      <w:r>
        <w:t xml:space="preserve">HALEU production capacity expansion — federal incentives, strategic stockpile, or both.</w:t>
      </w:r>
    </w:p>
    <w:p>
      <w:pPr>
        <w:pStyle w:val="ListParagraph"/>
        <w:numPr>
          <w:ilvl w:val="0"/>
          <w:numId w:val="2"/>
        </w:numPr>
        <w:spacing w:after="100" w:line="300"/>
      </w:pPr>
      <w:r>
        <w:t xml:space="preserve">Mars-specific reactor development — should it be federally funded, privately funded, or partnership.</w:t>
      </w:r>
    </w:p>
    <w:p>
      <w:pPr>
        <w:pStyle w:val="ListParagraph"/>
        <w:numPr>
          <w:ilvl w:val="0"/>
          <w:numId w:val="2"/>
        </w:numPr>
        <w:spacing w:after="100" w:line="300"/>
      </w:pPr>
      <w:r>
        <w:t xml:space="preserve">Fuel security policies — domestic enrichment vs international supply.</w:t>
      </w:r>
    </w:p>
    <w:p>
      <w:pPr>
        <w:pStyle w:val="ListParagraph"/>
        <w:numPr>
          <w:ilvl w:val="0"/>
          <w:numId w:val="2"/>
        </w:numPr>
        <w:spacing w:after="100" w:line="300"/>
      </w:pPr>
      <w:r>
        <w:t xml:space="preserve">Liability framework for space nuclear accidents — extending Price-Anderson or new framework.</w:t>
      </w:r>
    </w:p>
    <w:p>
      <w:pPr>
        <w:spacing w:after="160" w:line="320"/>
        <w:jc w:val="left"/>
      </w:pPr>
      <w:r>
        <w:t xml:space="preserve">Each of these is a legitimate decision in its own right and will affect the trajectory of space nuclear regardless of Mars-specific intentions.</w:t>
      </w:r>
    </w:p>
    <w:p>
      <w:r>
        <w:br w:type="page"/>
      </w:r>
    </w:p>
    <w:p>
      <w:pPr>
        <w:pStyle w:val="Heading1"/>
      </w:pPr>
      <w:r>
        <w:t xml:space="preserve">2. Governance Options: All Seven Examined</w:t>
      </w:r>
    </w:p>
    <w:p>
      <w:pPr>
        <w:spacing w:after="160" w:line="320"/>
        <w:jc w:val="left"/>
      </w:pPr>
      <w:r>
        <w:t xml:space="preserve">Earlier framings of Mars governance presented only three corporate options. Four non-corporate alternatives are also credible. Policy environments that support only the corporate options narrow the feasible outcome space in ways that matter.</w:t>
      </w:r>
    </w:p>
    <w:p>
      <w:pPr>
        <w:pStyle w:val="Heading2"/>
      </w:pPr>
      <w:r>
        <w:t xml:space="preserve">2.1 The Three Corporate Options</w:t>
      </w:r>
    </w:p>
    <w:p>
      <w:pPr>
        <w:spacing w:after="160" w:line="320"/>
        <w:jc w:val="left"/>
      </w:pPr>
      <w:r>
        <w:rPr>
          <w:b/>
          <w:bCs/>
        </w:rPr>
        <w:t xml:space="preserve">Option A — Full Merger.</w:t>
      </w:r>
      <w:r>
        <w:t xml:space="preserve"> SpaceX and Tesla combine into single entity. Maximum integration, fastest execution, deepest capital pool. Highest concentration risk; substantial regulatory complexity (CFIUS, antitrust, ITAR, FCC). 12–24 month merger timeline before Mars work accelerates.</w:t>
      </w:r>
    </w:p>
    <w:p>
      <w:pPr>
        <w:spacing w:after="160" w:line="320"/>
        <w:jc w:val="left"/>
      </w:pPr>
      <w:r>
        <w:rPr>
          <w:b/>
          <w:bCs/>
        </w:rPr>
        <w:t xml:space="preserve">Option B — Mars Industrial Subsidiary.</w:t>
      </w:r>
      <w:r>
        <w:t xml:space="preserve"> SpaceX and Tesla remain separate; jointly capitalised subsidiary with outside investors. Avoids merger regulatory complexity. Allows risk isolation. 1–3 years slower than merger.</w:t>
      </w:r>
    </w:p>
    <w:p>
      <w:pPr>
        <w:spacing w:after="160" w:line="320"/>
        <w:jc w:val="left"/>
      </w:pPr>
      <w:r>
        <w:rPr>
          <w:b/>
          <w:bCs/>
        </w:rPr>
        <w:t xml:space="preserve">Option C — Programmatic Alliance.</w:t>
      </w:r>
      <w:r>
        <w:t xml:space="preserve"> Companies remain fully separate with shared standards. Lowest regulatory complexity. 5–10 years slower. Probably insufficient capital concentration for full programme.</w:t>
      </w:r>
    </w:p>
    <w:p>
      <w:pPr>
        <w:pStyle w:val="Heading2"/>
      </w:pPr>
      <w:r>
        <w:t xml:space="preserve">2.2 The Four Non-Corporate Options</w:t>
      </w:r>
    </w:p>
    <w:p>
      <w:pPr>
        <w:spacing w:after="160" w:line="320"/>
        <w:jc w:val="left"/>
      </w:pPr>
      <w:r>
        <w:rPr>
          <w:b/>
          <w:bCs/>
        </w:rPr>
        <w:t xml:space="preserve">Option D — Treaty-Administered Framework.</w:t>
      </w:r>
      <w:r>
        <w:t xml:space="preserve"> Treaty body, similar in structure to IAEA or International Seabed Authority, administers Mars activity. Defines what activities are permitted, in what zones, by which actors, with what oversight. Commercial entities operate within the framework but the framework itself is intergovernmental. Resource extraction generates royalties shared across signatories.</w:t>
      </w:r>
    </w:p>
    <w:p>
      <w:pPr>
        <w:spacing w:after="160" w:line="320"/>
        <w:jc w:val="left"/>
      </w:pPr>
      <w:r>
        <w:t xml:space="preserve">Strengths: maximum legitimacy, embedded planetary protection, structural response to concentration concerns. Weaknesses: treaty negotiation typically takes 10–20 years; major powers may not ratify; consensus-driven decision-making is slow.</w:t>
      </w:r>
    </w:p>
    <w:p>
      <w:pPr>
        <w:spacing w:after="160" w:line="320"/>
        <w:jc w:val="left"/>
      </w:pPr>
      <w:r>
        <w:rPr>
          <w:b/>
          <w:bCs/>
        </w:rPr>
        <w:t xml:space="preserve">Option E — Sovereign Consortium.</w:t>
      </w:r>
      <w:r>
        <w:t xml:space="preserve"> Consortium of national space agencies (NASA, ESA, JAXA, CSA, ISRO, MBRSC, others) jointly funds and governs Mars activity, contracting commercial providers for specific capabilities. Roughly the ISS model scaled up.</w:t>
      </w:r>
    </w:p>
    <w:p>
      <w:pPr>
        <w:spacing w:after="160" w:line="320"/>
        <w:jc w:val="left"/>
      </w:pPr>
      <w:r>
        <w:t xml:space="preserve">Strengths: diffuses concentration; structural international cooperation; ISS demonstrated 25-year sustainability. Weaknesses: every architectural choice becomes multilateral negotiation; cost overruns typical and politically corrosive; China likely not a participant under current conditions.</w:t>
      </w:r>
    </w:p>
    <w:p>
      <w:pPr>
        <w:spacing w:after="160" w:line="320"/>
        <w:jc w:val="left"/>
      </w:pPr>
      <w:r>
        <w:rPr>
          <w:b/>
          <w:bCs/>
        </w:rPr>
        <w:t xml:space="preserve">Option F — CERN-Style Multinational.</w:t>
      </w:r>
      <w:r>
        <w:t xml:space="preserve"> Purpose-built international scientific and industrial organisation, member-state funded, with operational autonomy. CERN has sustained particle physics research at scales no individual country would have funded, with stable governance for 70 years.</w:t>
      </w:r>
    </w:p>
    <w:p>
      <w:pPr>
        <w:spacing w:after="160" w:line="320"/>
        <w:jc w:val="left"/>
      </w:pPr>
      <w:r>
        <w:t xml:space="preserve">Strengths: stable institutional structure with proven multi-decade durability; operational independence from member political swings; international by design. Weaknesses: no precedent at industrial rather than scientific scale; CERN budget is ~$1.5B/year, would need to be 30–50× larger; commercial integration harder.</w:t>
      </w:r>
    </w:p>
    <w:p>
      <w:pPr>
        <w:spacing w:after="160" w:line="320"/>
        <w:jc w:val="left"/>
      </w:pPr>
      <w:r>
        <w:rPr>
          <w:b/>
          <w:bCs/>
        </w:rPr>
        <w:t xml:space="preserve">Option G — Public Utility / Open Protocol Model.</w:t>
      </w:r>
      <w:r>
        <w:t xml:space="preserve"> Mars surface infrastructure (power grid, communications, transport) built and operated as public utility under regulated terms; multiple commercial actors provide specific services on top. Variant: open protocol ecosystem with standardised interfaces allowing many independent contributors.</w:t>
      </w:r>
    </w:p>
    <w:p>
      <w:pPr>
        <w:spacing w:after="160" w:line="320"/>
        <w:jc w:val="left"/>
      </w:pPr>
      <w:r>
        <w:t xml:space="preserve">Strengths: structurally prevents any one actor from controlling foundation layer; allows international and small-actor participation. Weaknesses: requires coordination between actors who may not exist yet on standards not yet written; "open standards" rhetoric historically used to justify both genuinely open and captured ecosystems.</w:t>
      </w:r>
    </w:p>
    <w:p>
      <w:pPr>
        <w:pStyle w:val="Heading2"/>
      </w:pPr>
      <w:r>
        <w:t xml:space="preserve">2.3 Comparison</w:t>
      </w:r>
    </w:p>
    <w:tbl>
      <w:tblPr>
        <w:tblW w:type="dxa" w:w="10460"/>
        <w:tblBorders>
          <w:top w:val="single" w:color="auto" w:sz="4"/>
          <w:left w:val="single" w:color="auto" w:sz="4"/>
          <w:bottom w:val="single" w:color="auto" w:sz="4"/>
          <w:right w:val="single" w:color="auto" w:sz="4"/>
          <w:insideH w:val="single" w:color="auto" w:sz="4"/>
          <w:insideV w:val="single" w:color="auto" w:sz="4"/>
        </w:tblBorders>
      </w:tblPr>
      <w:tblGrid>
        <w:gridCol w:w="2200"/>
        <w:gridCol w:w="2100"/>
        <w:gridCol w:w="2200"/>
        <w:gridCol w:w="2100"/>
        <w:gridCol w:w="1860"/>
      </w:tblGrid>
      <w:tr>
        <w:trPr>
          <w:tblHeader/>
        </w:trPr>
        <w:tc>
          <w:tcPr>
            <w:tcW w:type="dxa" w:w="22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Option</w:t>
            </w:r>
          </w:p>
        </w:tc>
        <w:tc>
          <w:tcPr>
            <w:tcW w:type="dxa" w:w="21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Speed</w:t>
            </w:r>
          </w:p>
        </w:tc>
        <w:tc>
          <w:tcPr>
            <w:tcW w:type="dxa" w:w="22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Capital ceiling</w:t>
            </w:r>
          </w:p>
        </w:tc>
        <w:tc>
          <w:tcPr>
            <w:tcW w:type="dxa" w:w="21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Concentration</w:t>
            </w:r>
          </w:p>
        </w:tc>
        <w:tc>
          <w:tcPr>
            <w:tcW w:type="dxa" w:w="18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Legitimacy</w:t>
            </w:r>
          </w:p>
        </w:tc>
      </w:tr>
      <w:tr>
        <w:trPr>
          <w:cantSplit/>
        </w:trPr>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 Full merger</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Fastest after setup</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$1T+</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Highest</w:t>
            </w:r>
          </w:p>
        </w:tc>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Lowest</w:t>
            </w:r>
          </w:p>
        </w:tc>
      </w:tr>
      <w:tr>
        <w:trPr>
          <w:cantSplit/>
        </w:trPr>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B. Subsidiary</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Fast</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$500–800B</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High</w:t>
            </w:r>
          </w:p>
        </w:tc>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Low</w:t>
            </w:r>
          </w:p>
        </w:tc>
      </w:tr>
      <w:tr>
        <w:trPr>
          <w:cantSplit/>
        </w:trPr>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 Alliance</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Slow</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$300B fragmented</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Moderate</w:t>
            </w:r>
          </w:p>
        </w:tc>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Low-moderate</w:t>
            </w:r>
          </w:p>
        </w:tc>
      </w:tr>
      <w:tr>
        <w:trPr>
          <w:cantSplit/>
        </w:trPr>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D. Treaty body</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Slowest</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Variable</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Low</w:t>
            </w:r>
          </w:p>
        </w:tc>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Highest</w:t>
            </w:r>
          </w:p>
        </w:tc>
      </w:tr>
      <w:tr>
        <w:trPr>
          <w:cantSplit/>
        </w:trPr>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E. Sovereign consortium</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Slow</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$200–500B</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Low</w:t>
            </w:r>
          </w:p>
        </w:tc>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High</w:t>
            </w:r>
          </w:p>
        </w:tc>
      </w:tr>
      <w:tr>
        <w:trPr>
          <w:cantSplit/>
        </w:trPr>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F. CERN multinational</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Moderate</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$300–600B</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Low-moderate</w:t>
            </w:r>
          </w:p>
        </w:tc>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High</w:t>
            </w:r>
          </w:p>
        </w:tc>
      </w:tr>
      <w:tr>
        <w:trPr>
          <w:cantSplit/>
        </w:trPr>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G. Public utility / protocol</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Stage-dependent</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Variable</w:t>
            </w:r>
          </w:p>
        </w:tc>
        <w:tc>
          <w:tcPr>
            <w:tcW w:type="dxa" w:w="21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Lowest</w:t>
            </w:r>
          </w:p>
        </w:tc>
        <w:tc>
          <w:tcPr>
            <w:tcW w:type="dxa" w:w="18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Variable</w:t>
            </w:r>
          </w:p>
        </w:tc>
      </w:tr>
    </w:tbl>
    <w:p>
      <w:pPr>
        <w:spacing w:after="160" w:line="320"/>
        <w:jc w:val="left"/>
      </w:pPr>
      <w:r>
        <w:t xml:space="preserve"> </w:t>
      </w:r>
    </w:p>
    <w:p>
      <w:pPr>
        <w:pStyle w:val="Heading2"/>
      </w:pPr>
      <w:r>
        <w:t xml:space="preserve">2.4 The Policy Choice</w:t>
      </w:r>
    </w:p>
    <w:p>
      <w:pPr>
        <w:spacing w:after="160" w:line="320"/>
        <w:jc w:val="left"/>
      </w:pPr>
      <w:r>
        <w:t xml:space="preserve">Policymakers face a genuine choice. Options A–C optimise for speed and capital concentration at the cost of accountability. Options D–F optimise for legitimacy at the cost of speed. Option G is closest to a stage-2 evolution of any of the others.</w:t>
      </w:r>
    </w:p>
    <w:p>
      <w:pPr>
        <w:spacing w:after="160" w:line="320"/>
        <w:jc w:val="left"/>
      </w:pPr>
      <w:r>
        <w:t xml:space="preserve">A US policy environment that signals strong support for Options A–C while remaining indifferent to D–G effectively narrows the space of feasible outcomes to corporate-led structures. This is not a neutral default — it is a policy choice with implications. Policymakers concerned about concentration should ask whether their policy posture is consistent with their stated concerns.</w:t>
      </w:r>
    </w:p>
    <w:p>
      <w:pPr>
        <w:spacing w:after="160" w:line="320"/>
        <w:jc w:val="left"/>
      </w:pPr>
      <w:r>
        <w:t xml:space="preserve">A policy posture that genuinely treats all seven as live options would include exploring multilateral framework development in parallel with domestic regulatory work. The current US policy environment does not do this; that gap is itself a position.</w:t>
      </w:r>
    </w:p>
    <w:p>
      <w:r>
        <w:br w:type="page"/>
      </w:r>
    </w:p>
    <w:p>
      <w:pPr>
        <w:pStyle w:val="Heading1"/>
      </w:pPr>
      <w:r>
        <w:t xml:space="preserve">3. Antitrust and Competition Policy</w:t>
      </w:r>
    </w:p>
    <w:p>
      <w:pPr>
        <w:pStyle w:val="Heading2"/>
      </w:pPr>
      <w:r>
        <w:t xml:space="preserve">3.1 The Scale Problem</w:t>
      </w:r>
    </w:p>
    <w:p>
      <w:pPr>
        <w:spacing w:after="160" w:line="320"/>
        <w:jc w:val="left"/>
      </w:pPr>
      <w:r>
        <w:t xml:space="preserve">At maturity, the operating entity described in the corporate governance options would have a market capitalisation plausibly in the trillions of dollars. It would be the dominant or sole supplier of: heavy lift to space, humanoid robots at scale, autonomous mining infrastructure, significant fractions of global satellite communications, and eventually off-world resources. Each of these is a substantial market in its own right; the combination is unprecedented.</w:t>
      </w:r>
    </w:p>
    <w:p>
      <w:pPr>
        <w:spacing w:after="160" w:line="320"/>
        <w:jc w:val="left"/>
      </w:pPr>
      <w:r>
        <w:t xml:space="preserve">Standard antitrust analysis was developed for terrestrial markets with established competitor sets, observable consumer welfare metrics, and time horizons of years rather than decades. The Mars context strains each: competitor sets are limited by capital scale (few entities can afford to enter), consumer welfare metrics are unclear (Mars activity does not directly serve consumer markets in the conventional sense), and time horizons are multi-decade.</w:t>
      </w:r>
    </w:p>
    <w:p>
      <w:pPr>
        <w:pStyle w:val="Heading2"/>
      </w:pPr>
      <w:r>
        <w:t xml:space="preserve">3.2 Decision Points</w:t>
      </w:r>
    </w:p>
    <w:p>
      <w:pPr>
        <w:spacing w:after="160" w:line="320"/>
        <w:jc w:val="left"/>
      </w:pPr>
      <w:r>
        <w:t xml:space="preserve">A potential SpaceX-Tesla merger (Option A) requires CFIUS, FTC/DOJ antitrust review, ITAR review, and FCC review of combined Starlink operations. The decision is binary in form (approve/block/condition) but materially shaped by the conditions imposed.</w:t>
      </w:r>
    </w:p>
    <w:p>
      <w:pPr>
        <w:spacing w:after="160" w:line="320"/>
        <w:jc w:val="left"/>
      </w:pPr>
      <w:r>
        <w:t xml:space="preserve">Conditions that might be imposed include:</w:t>
      </w:r>
    </w:p>
    <w:p>
      <w:pPr>
        <w:pStyle w:val="ListParagraph"/>
        <w:numPr>
          <w:ilvl w:val="0"/>
          <w:numId w:val="2"/>
        </w:numPr>
        <w:spacing w:after="100" w:line="300"/>
      </w:pPr>
      <w:r>
        <w:t xml:space="preserve">Divestiture of specific business lines (e.g., Tesla Energy, certain Starlink consumer operations).</w:t>
      </w:r>
    </w:p>
    <w:p>
      <w:pPr>
        <w:pStyle w:val="ListParagraph"/>
        <w:numPr>
          <w:ilvl w:val="0"/>
          <w:numId w:val="2"/>
        </w:numPr>
        <w:spacing w:after="100" w:line="300"/>
      </w:pPr>
      <w:r>
        <w:t xml:space="preserve">Open standards mandates for surface infrastructure once deployed.</w:t>
      </w:r>
    </w:p>
    <w:p>
      <w:pPr>
        <w:pStyle w:val="ListParagraph"/>
        <w:numPr>
          <w:ilvl w:val="0"/>
          <w:numId w:val="2"/>
        </w:numPr>
        <w:spacing w:after="100" w:line="300"/>
      </w:pPr>
      <w:r>
        <w:t xml:space="preserve">Mandatory licensing of specific IP categories (autonomy stack, ISRU technology) at FRAND terms.</w:t>
      </w:r>
    </w:p>
    <w:p>
      <w:pPr>
        <w:pStyle w:val="ListParagraph"/>
        <w:numPr>
          <w:ilvl w:val="0"/>
          <w:numId w:val="2"/>
        </w:numPr>
        <w:spacing w:after="100" w:line="300"/>
      </w:pPr>
      <w:r>
        <w:t xml:space="preserve">International participation requirements with non-trivial floors.</w:t>
      </w:r>
    </w:p>
    <w:p>
      <w:pPr>
        <w:pStyle w:val="ListParagraph"/>
        <w:numPr>
          <w:ilvl w:val="0"/>
          <w:numId w:val="2"/>
        </w:numPr>
        <w:spacing w:after="100" w:line="300"/>
      </w:pPr>
      <w:r>
        <w:t xml:space="preserve">Sunset provisions on integrated structure tied to specific milestones.</w:t>
      </w:r>
    </w:p>
    <w:p>
      <w:pPr>
        <w:pStyle w:val="ListParagraph"/>
        <w:numPr>
          <w:ilvl w:val="0"/>
          <w:numId w:val="2"/>
        </w:numPr>
        <w:spacing w:after="100" w:line="300"/>
      </w:pPr>
      <w:r>
        <w:t xml:space="preserve">Government veto on specific categories of decision (planetary protection, militarisation, foreign acquisition of subsidiary entities).</w:t>
      </w:r>
    </w:p>
    <w:p>
      <w:pPr>
        <w:spacing w:after="160" w:line="320"/>
        <w:jc w:val="left"/>
      </w:pPr>
      <w:r>
        <w:t xml:space="preserve">Each condition reduces the speed advantage of Option A and may make Option B (subsidiary) more attractive to the operating entity. Policymakers shaping these conditions are effectively choosing between governance models, not just regulating the proposed model.</w:t>
      </w:r>
    </w:p>
    <w:p>
      <w:pPr>
        <w:pStyle w:val="Heading2"/>
      </w:pPr>
      <w:r>
        <w:t xml:space="preserve">3.3 The Long-Horizon Problem</w:t>
      </w:r>
    </w:p>
    <w:p>
      <w:pPr>
        <w:spacing w:after="160" w:line="320"/>
        <w:jc w:val="left"/>
      </w:pPr>
      <w:r>
        <w:t xml:space="preserve">Standard antitrust enforcement operates on years-long timescales. Mars programmes operate on decade-plus timescales. By the time enforcement action against a problematic concentration would be effective, the entity has typically accumulated political and economic position that makes enforcement infeasible. This is the structural concentration concern Document 4 develops in detail.</w:t>
      </w:r>
    </w:p>
    <w:p>
      <w:pPr>
        <w:spacing w:after="160" w:line="320"/>
        <w:jc w:val="left"/>
      </w:pPr>
      <w:r>
        <w:t xml:space="preserve">Mitigations include forward-binding consent decrees with specific enforcement triggers, structural separation requirements at formation rather than after problems emerge, and international coordination on competition policy that reduces the regulatory arbitrage opportunities the entity might otherwise exploit. Each is harder than standard antitrust practice. Whether the institutional capacity exists is a live question.</w:t>
      </w:r>
    </w:p>
    <w:p>
      <w:r>
        <w:br w:type="page"/>
      </w:r>
    </w:p>
    <w:p>
      <w:pPr>
        <w:pStyle w:val="Heading1"/>
      </w:pPr>
      <w:r>
        <w:t xml:space="preserve">4. Planetary Protection Framework</w:t>
      </w:r>
    </w:p>
    <w:p>
      <w:pPr>
        <w:pStyle w:val="Heading2"/>
      </w:pPr>
      <w:r>
        <w:t xml:space="preserve">4.1 The Current Framework</w:t>
      </w:r>
    </w:p>
    <w:p>
      <w:pPr>
        <w:spacing w:after="160" w:line="320"/>
        <w:jc w:val="left"/>
      </w:pPr>
      <w:r>
        <w:t xml:space="preserve">Current planetary protection guidelines are administered by COSPAR (Committee on Space Research) and implemented through national space agencies. The framework was developed for scientific exploration with limited surface activity. It assumes contamination control through mission-by-mission protocols, biological burden limits on spacecraft, and designated protected zones.</w:t>
      </w:r>
    </w:p>
    <w:p>
      <w:pPr>
        <w:spacing w:after="160" w:line="320"/>
        <w:jc w:val="left"/>
      </w:pPr>
      <w:r>
        <w:t xml:space="preserve">At the scale contemplated by industrial Mars activity, the framework breaks. An industrial-scale presence introduces orders of magnitude more biological material to Mars than all previous robotic missions combined. Mission-by-mission protocols cannot handle continuous heavy traffic. Biological burden limits are not enforceable on a fleet of thousands of robots and hundreds of structures.</w:t>
      </w:r>
    </w:p>
    <w:p>
      <w:pPr>
        <w:pStyle w:val="Heading2"/>
      </w:pPr>
      <w:r>
        <w:t xml:space="preserve">4.2 Decision Points</w:t>
      </w:r>
    </w:p>
    <w:p>
      <w:pPr>
        <w:spacing w:after="160" w:line="320"/>
        <w:jc w:val="left"/>
      </w:pPr>
      <w:r>
        <w:t xml:space="preserve">Several specific policy questions require positions:</w:t>
      </w:r>
    </w:p>
    <w:p>
      <w:pPr>
        <w:spacing w:after="160" w:line="320"/>
        <w:jc w:val="left"/>
      </w:pPr>
      <w:r>
        <w:rPr>
          <w:b/>
          <w:bCs/>
        </w:rPr>
        <w:t xml:space="preserve">Mars Economic Zones designation.</w:t>
      </w:r>
      <w:r>
        <w:t xml:space="preserve"> The plan envisions designating specific industrial zones as having reduced planetary protection requirements, with surrounding areas as scientific reserves. Whether this is acceptable depends on (a) probability assessments of indigenous Mars life, (b) the value placed on scientific resolution of the life question, (c) judgements about whether the zone designation can be enforced over multi-decade horizons.</w:t>
      </w:r>
    </w:p>
    <w:p>
      <w:pPr>
        <w:spacing w:after="160" w:line="320"/>
        <w:jc w:val="left"/>
      </w:pPr>
      <w:r>
        <w:rPr>
          <w:b/>
          <w:bCs/>
        </w:rPr>
        <w:t xml:space="preserve">Pre-clearance vs case-by-case approval.</w:t>
      </w:r>
      <w:r>
        <w:t xml:space="preserve"> Industrial activity at scale cannot proceed under case-by-case planetary protection approval. Either pre-clearance is established (substantial scientific and political work required) or the activity proceeds without adequate protection (accepting a substantial risk that contamination compromises future scientific and ethical possibilities).</w:t>
      </w:r>
    </w:p>
    <w:p>
      <w:pPr>
        <w:spacing w:after="160" w:line="320"/>
        <w:jc w:val="left"/>
      </w:pPr>
      <w:r>
        <w:rPr>
          <w:b/>
          <w:bCs/>
        </w:rPr>
        <w:t xml:space="preserve">International framework consistency.</w:t>
      </w:r>
      <w:r>
        <w:t xml:space="preserve"> Planetary protection is fundamentally international — Earth contamination of Mars is not a US-only concern. A US framework that allows what international consensus does not creates substantial diplomatic friction and potential for unilateral counter-action by other states.</w:t>
      </w:r>
    </w:p>
    <w:p>
      <w:pPr>
        <w:spacing w:after="160" w:line="320"/>
        <w:jc w:val="left"/>
      </w:pPr>
      <w:r>
        <w:rPr>
          <w:b/>
          <w:bCs/>
        </w:rPr>
        <w:t xml:space="preserve">Scientific reserve enforcement.</w:t>
      </w:r>
      <w:r>
        <w:t xml:space="preserve"> A designated reserve is only meaningful if its protection is enforceable. The mechanisms for enforcing planetary protection at multi-decade scales across commercial actors do not currently exist.</w:t>
      </w:r>
    </w:p>
    <w:p>
      <w:pPr>
        <w:pStyle w:val="Heading2"/>
      </w:pPr>
      <w:r>
        <w:t xml:space="preserve">4.3 The Substantive Disagreement</w:t>
      </w:r>
    </w:p>
    <w:p>
      <w:pPr>
        <w:spacing w:after="160" w:line="320"/>
        <w:jc w:val="left"/>
      </w:pPr>
      <w:r>
        <w:t xml:space="preserve">Within the planetary science community, there is a genuine disagreement about how planetary protection should evolve. One position holds that contamination concerns should be weighted heavily, and that industrial activity should be substantially constrained until the question of indigenous Mars life is resolved. Another position holds that the probability of indigenous life is low enough that contamination concerns should not block activity. A middle position holds that response should depend on what is found and that the framework should allow rapid pause if needed.</w:t>
      </w:r>
    </w:p>
    <w:p>
      <w:pPr>
        <w:spacing w:after="160" w:line="320"/>
        <w:jc w:val="left"/>
      </w:pPr>
      <w:r>
        <w:t xml:space="preserve">These positions cannot be reconciled by analysis alone — they reflect different probability estimates and different value weightings. Policymakers shaping the framework are effectively choosing among them. The choice should be made explicitly rather than allowed to happen by default.</w:t>
      </w:r>
    </w:p>
    <w:p>
      <w:pPr>
        <w:spacing w:after="160" w:line="320"/>
        <w:jc w:val="left"/>
      </w:pPr>
      <w:r>
        <w:t xml:space="preserve">A particularly important decision point: the question of whether COSPAR-style international guidelines or US national policy takes precedence in cases of conflict. Current practice is implicit deference to COSPAR; explicit codification either way would have substantial implications.</w:t>
      </w:r>
    </w:p>
    <w:p>
      <w:r>
        <w:br w:type="page"/>
      </w:r>
    </w:p>
    <w:p>
      <w:pPr>
        <w:pStyle w:val="Heading1"/>
      </w:pPr>
      <w:r>
        <w:t xml:space="preserve">5. Militarisation and Dual-Use</w:t>
      </w:r>
    </w:p>
    <w:p>
      <w:pPr>
        <w:pStyle w:val="Heading2"/>
      </w:pPr>
      <w:r>
        <w:t xml:space="preserve">5.1 The Structural Pressure</w:t>
      </w:r>
    </w:p>
    <w:p>
      <w:pPr>
        <w:spacing w:after="160" w:line="320"/>
        <w:jc w:val="left"/>
      </w:pPr>
      <w:r>
        <w:t xml:space="preserve">Space has been militarised since Sputnik. The question is not whether but how aggressively. A heavy industrial presence on the Moon and Mars with autonomous robot fleets, advanced nuclear power, and integrated communications has obvious dual-use implications. Several factors create structural pressure toward integration of civilian and military capabilities:</w:t>
      </w:r>
    </w:p>
    <w:p>
      <w:pPr>
        <w:pStyle w:val="ListParagraph"/>
        <w:numPr>
          <w:ilvl w:val="0"/>
          <w:numId w:val="2"/>
        </w:numPr>
        <w:spacing w:after="100" w:line="300"/>
      </w:pPr>
      <w:r>
        <w:t xml:space="preserve">Defence funding is a substantial source of capital for the underlying technologies.</w:t>
      </w:r>
    </w:p>
    <w:p>
      <w:pPr>
        <w:pStyle w:val="ListParagraph"/>
        <w:numPr>
          <w:ilvl w:val="0"/>
          <w:numId w:val="2"/>
        </w:numPr>
        <w:spacing w:after="100" w:line="300"/>
      </w:pPr>
      <w:r>
        <w:t xml:space="preserve">NSTM-3 explicitly contemplates DoD orbital reactor deployment.</w:t>
      </w:r>
    </w:p>
    <w:p>
      <w:pPr>
        <w:pStyle w:val="ListParagraph"/>
        <w:numPr>
          <w:ilvl w:val="0"/>
          <w:numId w:val="2"/>
        </w:numPr>
        <w:spacing w:after="100" w:line="300"/>
      </w:pPr>
      <w:r>
        <w:t xml:space="preserve">Dual-use development is more efficient than parallel programmes.</w:t>
      </w:r>
    </w:p>
    <w:p>
      <w:pPr>
        <w:pStyle w:val="ListParagraph"/>
        <w:numPr>
          <w:ilvl w:val="0"/>
          <w:numId w:val="2"/>
        </w:numPr>
        <w:spacing w:after="100" w:line="300"/>
      </w:pPr>
      <w:r>
        <w:t xml:space="preserve">China's space programme is integrated with Chinese military, creating reciprocal pressure.</w:t>
      </w:r>
    </w:p>
    <w:p>
      <w:pPr>
        <w:pStyle w:val="ListParagraph"/>
        <w:numPr>
          <w:ilvl w:val="0"/>
          <w:numId w:val="2"/>
        </w:numPr>
        <w:spacing w:after="100" w:line="300"/>
      </w:pPr>
      <w:r>
        <w:t xml:space="preserve">Once capability exists, political pressure to use it militarily is historically difficult to resist.</w:t>
      </w:r>
    </w:p>
    <w:p>
      <w:pPr>
        <w:spacing w:after="160" w:line="320"/>
        <w:jc w:val="left"/>
      </w:pPr>
      <w:r>
        <w:t xml:space="preserve">A programme structured to resist militarisation would refuse defence contracts beyond a defined scope, maintain transparent international oversight, design infrastructure to be visibly civilian, and commit to specific use restrictions verifiable by other states. None of these is impossible, but each constrains the programme.</w:t>
      </w:r>
    </w:p>
    <w:p>
      <w:pPr>
        <w:pStyle w:val="Heading2"/>
      </w:pPr>
      <w:r>
        <w:t xml:space="preserve">5.2 Decision Points</w:t>
      </w:r>
    </w:p>
    <w:p>
      <w:pPr>
        <w:spacing w:after="160" w:line="320"/>
        <w:jc w:val="left"/>
      </w:pPr>
      <w:r>
        <w:rPr>
          <w:b/>
          <w:bCs/>
        </w:rPr>
        <w:t xml:space="preserve">Defence-civilian integration scope.</w:t>
      </w:r>
      <w:r>
        <w:t xml:space="preserve"> US policy currently allows substantial integration through standard defence procurement. A more restrictive posture would limit specific categories (orbital reactors, autonomous robot fleets in cislunar space) to civilian-only. The trade-off is between speed and verifiability.</w:t>
      </w:r>
    </w:p>
    <w:p>
      <w:pPr>
        <w:spacing w:after="160" w:line="320"/>
        <w:jc w:val="left"/>
      </w:pPr>
      <w:r>
        <w:rPr>
          <w:b/>
          <w:bCs/>
        </w:rPr>
        <w:t xml:space="preserve">International transparency commitments.</w:t>
      </w:r>
      <w:r>
        <w:t xml:space="preserve"> Pre-positioning of capabilities can be observed by other states; intent cannot. Commitments that increase observability (notification protocols, access for international monitors, public deployment information) reduce escalation pressure but constrain operational flexibility.</w:t>
      </w:r>
    </w:p>
    <w:p>
      <w:pPr>
        <w:spacing w:after="160" w:line="320"/>
        <w:jc w:val="left"/>
      </w:pPr>
      <w:r>
        <w:rPr>
          <w:b/>
          <w:bCs/>
        </w:rPr>
        <w:t xml:space="preserve">Treaty work on space security.</w:t>
      </w:r>
      <w:r>
        <w:t xml:space="preserve"> Existing frameworks (Outer Space Treaty, Moon Agreement) prohibit weapons of mass destruction in orbit but are silent on dual-use systems and ASAT capabilities. New treaty work on space security has been attempted multiple times without success. A serious effort would require US leadership that has not been forthcoming.</w:t>
      </w:r>
    </w:p>
    <w:p>
      <w:pPr>
        <w:pStyle w:val="Heading2"/>
      </w:pPr>
      <w:r>
        <w:t xml:space="preserve">5.3 The Stability Question</w:t>
      </w:r>
    </w:p>
    <w:p>
      <w:pPr>
        <w:spacing w:after="160" w:line="320"/>
        <w:jc w:val="left"/>
      </w:pPr>
      <w:r>
        <w:t xml:space="preserve">A successful programme dominated by one country and one entity creates predictable counter-positioning by other states. Three plausible responses:</w:t>
      </w:r>
    </w:p>
    <w:p>
      <w:pPr>
        <w:spacing w:after="160" w:line="320"/>
        <w:jc w:val="left"/>
      </w:pPr>
      <w:r>
        <w:rPr>
          <w:b/>
          <w:bCs/>
        </w:rPr>
        <w:t xml:space="preserve">Acceleration.</w:t>
      </w:r>
      <w:r>
        <w:t xml:space="preserve"> China, possibly EU, possibly India-Russia coalition, accelerate their own programmes. Aggregate effect is faster space development globally but more competitively, more militarised, less cooperatively governed.</w:t>
      </w:r>
    </w:p>
    <w:p>
      <w:pPr>
        <w:spacing w:after="160" w:line="320"/>
        <w:jc w:val="left"/>
      </w:pPr>
      <w:r>
        <w:rPr>
          <w:b/>
          <w:bCs/>
        </w:rPr>
        <w:t xml:space="preserve">Cooperation.</w:t>
      </w:r>
      <w:r>
        <w:t xml:space="preserve"> Other countries seek to participate in dominant programme, accepting subordinate roles. Works to extent dominant entity is willing to share governance; fails to extent participation is nominal.</w:t>
      </w:r>
    </w:p>
    <w:p>
      <w:pPr>
        <w:spacing w:after="160" w:line="320"/>
        <w:jc w:val="left"/>
      </w:pPr>
      <w:r>
        <w:rPr>
          <w:b/>
          <w:bCs/>
        </w:rPr>
        <w:t xml:space="preserve">Spoiling.</w:t>
      </w:r>
      <w:r>
        <w:t xml:space="preserve"> Countries unable to compete or unwilling to participate seek to disrupt through political opposition, regulatory complications, anti-satellite capabilities. Currently low-probability but increases as programme's strategic value increases.</w:t>
      </w:r>
    </w:p>
    <w:p>
      <w:pPr>
        <w:spacing w:after="160" w:line="320"/>
        <w:jc w:val="left"/>
      </w:pPr>
      <w:r>
        <w:t xml:space="preserve">Critics argue the dominant scenario is acceleration with secondary spoiling, which is net-destabilising for the international system including for the leading country. Advocates argue cooperation is more achievable than critics suggest. The empirical question depends on choices not yet made by participating states.</w:t>
      </w:r>
    </w:p>
    <w:p>
      <w:r>
        <w:br w:type="page"/>
      </w:r>
    </w:p>
    <w:p>
      <w:pPr>
        <w:pStyle w:val="Heading1"/>
      </w:pPr>
      <w:r>
        <w:t xml:space="preserve">6. International Coordination</w:t>
      </w:r>
    </w:p>
    <w:p>
      <w:pPr>
        <w:pStyle w:val="Heading2"/>
      </w:pPr>
      <w:r>
        <w:t xml:space="preserve">6.1 The Treaty Inadequacy</w:t>
      </w:r>
    </w:p>
    <w:p>
      <w:pPr>
        <w:spacing w:after="160" w:line="320"/>
        <w:jc w:val="left"/>
      </w:pPr>
      <w:r>
        <w:t xml:space="preserve">The current legal framework — Outer Space Treaty 1967 plus Artemis Accords 2020 — is not adequate to industrial-scale activity. The Outer Space Treaty's "no national appropriation" provision is in tension with industrial-scale resource extraction and infrastructure deployment. The Artemis Accords are a US-led framework that 50+ countries have signed but China and Russia have not, providing soft-law cooperation guidance but not adequate basis for international stability of large-scale Mars operations.</w:t>
      </w:r>
    </w:p>
    <w:p>
      <w:pPr>
        <w:spacing w:after="160" w:line="320"/>
        <w:jc w:val="left"/>
      </w:pPr>
      <w:r>
        <w:t xml:space="preserve">New treaty work would clarify property rights and resource extraction; planetary protection enforcement mechanisms; safety zones and conflict prevention; militarisation limitations; revenue sharing with non-spacefaring nations. This treaty work is a substantial diplomatic undertaking that takes decades and may not succeed.</w:t>
      </w:r>
    </w:p>
    <w:p>
      <w:pPr>
        <w:pStyle w:val="Heading2"/>
      </w:pPr>
      <w:r>
        <w:t xml:space="preserve">6.2 The Sequencing Question</w:t>
      </w:r>
    </w:p>
    <w:p>
      <w:pPr>
        <w:spacing w:after="160" w:line="320"/>
        <w:jc w:val="left"/>
      </w:pPr>
      <w:r>
        <w:t xml:space="preserve">A central policy question: should industrial activity proceed before adequate international framework exists, or should activity be paused until framework is in place?</w:t>
      </w:r>
    </w:p>
    <w:p>
      <w:pPr>
        <w:spacing w:after="160" w:line="320"/>
        <w:jc w:val="left"/>
      </w:pPr>
      <w:r>
        <w:rPr>
          <w:b/>
          <w:bCs/>
        </w:rPr>
        <w:t xml:space="preserve">Proceed without framework.</w:t>
      </w:r>
      <w:r>
        <w:t xml:space="preserve"> This is the current trajectory. Argument: framework will follow facts on the ground; treaty negotiation in the absence of operational reality is hypothetical and prone to failure. Counter-argument: facts on the ground constrain future negotiation; positions established without framework will be defended against framework that emerges later.</w:t>
      </w:r>
    </w:p>
    <w:p>
      <w:pPr>
        <w:spacing w:after="160" w:line="320"/>
        <w:jc w:val="left"/>
      </w:pPr>
      <w:r>
        <w:rPr>
          <w:b/>
          <w:bCs/>
        </w:rPr>
        <w:t xml:space="preserve">Pause until framework.</w:t>
      </w:r>
      <w:r>
        <w:t xml:space="preserve"> Argument: irreversibility of industrial activity makes pre-framework deployment dangerous; democratic legitimacy requires framework first. Counter-argument: pause is functionally indefinite given how slow framework negotiation is, and other states (China) will not pause.</w:t>
      </w:r>
    </w:p>
    <w:p>
      <w:pPr>
        <w:spacing w:after="160" w:line="320"/>
        <w:jc w:val="left"/>
      </w:pPr>
      <w:r>
        <w:rPr>
          <w:b/>
          <w:bCs/>
        </w:rPr>
        <w:t xml:space="preserve">Parallel development.</w:t>
      </w:r>
      <w:r>
        <w:t xml:space="preserve"> Activity proceeds at limited scale while framework develops. Argument: avoids both extremes; allows learning to inform framework. Counter-argument: "limited" is hard to define and harder to enforce; the path of least resistance is gradual scaling that exceeds whatever framework eventually emerges.</w:t>
      </w:r>
    </w:p>
    <w:p>
      <w:pPr>
        <w:spacing w:after="160" w:line="320"/>
        <w:jc w:val="left"/>
      </w:pPr>
      <w:r>
        <w:t xml:space="preserve">Each option has costs. The choice reflects values about legitimacy versus speed, and judgements about whether framework can be developed in parallel with activity. Policymakers should make this choice explicitly.</w:t>
      </w:r>
    </w:p>
    <w:p>
      <w:pPr>
        <w:pStyle w:val="Heading2"/>
      </w:pPr>
      <w:r>
        <w:t xml:space="preserve">6.3 Coordination With Specific Partners</w:t>
      </w:r>
    </w:p>
    <w:p>
      <w:pPr>
        <w:spacing w:after="160" w:line="320"/>
        <w:jc w:val="left"/>
      </w:pPr>
      <w:r>
        <w:rPr>
          <w:b/>
          <w:bCs/>
        </w:rPr>
        <w:t xml:space="preserve">ESA and JAXA.</w:t>
      </w:r>
      <w:r>
        <w:t xml:space="preserve"> Established partners under Artemis Accords. Substantive participation in Mars activity is feasible and would increase legitimacy. Participation requires framework agreements that specify roles, IP arrangements, and data sharing.</w:t>
      </w:r>
    </w:p>
    <w:p>
      <w:pPr>
        <w:spacing w:after="160" w:line="320"/>
        <w:jc w:val="left"/>
      </w:pPr>
      <w:r>
        <w:rPr>
          <w:b/>
          <w:bCs/>
        </w:rPr>
        <w:t xml:space="preserve">India.</w:t>
      </w:r>
      <w:r>
        <w:t xml:space="preserve"> Increasingly capable space programme, ISRO, MBRSC partnerships. Potential substantive partner if engaged in early framework discussions.</w:t>
      </w:r>
    </w:p>
    <w:p>
      <w:pPr>
        <w:spacing w:after="160" w:line="320"/>
        <w:jc w:val="left"/>
      </w:pPr>
      <w:r>
        <w:rPr>
          <w:b/>
          <w:bCs/>
        </w:rPr>
        <w:t xml:space="preserve">UAE, Saudi Arabia.</w:t>
      </w:r>
      <w:r>
        <w:t xml:space="preserve"> Capital partners through sovereign wealth, with growing space programmes. Strategic importance for capital formation; less so for technical capability.</w:t>
      </w:r>
    </w:p>
    <w:p>
      <w:pPr>
        <w:spacing w:after="160" w:line="320"/>
        <w:jc w:val="left"/>
      </w:pPr>
      <w:r>
        <w:rPr>
          <w:b/>
          <w:bCs/>
        </w:rPr>
        <w:t xml:space="preserve">China.</w:t>
      </w:r>
      <w:r>
        <w:t xml:space="preserve"> Largest absent participant. Mars activity that proceeds without Chinese participation is fundamentally unilateral in a way that has consequences for international stability. Engagement is politically difficult under current conditions but is not impossible. The cost of not engaging is competitive escalation.</w:t>
      </w:r>
    </w:p>
    <w:p>
      <w:pPr>
        <w:spacing w:after="160" w:line="320"/>
        <w:jc w:val="left"/>
      </w:pPr>
      <w:r>
        <w:rPr>
          <w:b/>
          <w:bCs/>
        </w:rPr>
        <w:t xml:space="preserve">Russia.</w:t>
      </w:r>
      <w:r>
        <w:t xml:space="preserve"> Diminished space capability but historical position. Engagement is politically infeasible under current conditions.</w:t>
      </w:r>
    </w:p>
    <w:p>
      <w:pPr>
        <w:spacing w:after="160" w:line="320"/>
        <w:jc w:val="left"/>
      </w:pPr>
      <w:r>
        <w:rPr>
          <w:b/>
          <w:bCs/>
        </w:rPr>
        <w:t xml:space="preserve">G77 and non-aligned states.</w:t>
      </w:r>
      <w:r>
        <w:t xml:space="preserve"> Often overlooked but with substantial diplomatic weight. Concerns about benefit distribution, technology access, and unilateral resource appropriation by spacefaring states. Engagement at framework-development stage materially reduces later opposition.</w:t>
      </w:r>
    </w:p>
    <w:p>
      <w:r>
        <w:br w:type="page"/>
      </w:r>
    </w:p>
    <w:p>
      <w:pPr>
        <w:pStyle w:val="Heading1"/>
      </w:pPr>
      <w:r>
        <w:t xml:space="preserve">7. Export Control, ITAR, and CFIUS</w:t>
      </w:r>
    </w:p>
    <w:p>
      <w:pPr>
        <w:spacing w:after="160" w:line="320"/>
        <w:jc w:val="left"/>
      </w:pPr>
      <w:r>
        <w:t xml:space="preserve">Export control questions intersect Mars activity in several ways. Each requires policy positions that are not Mars-specific but materially affect the programme.</w:t>
      </w:r>
    </w:p>
    <w:p>
      <w:pPr>
        <w:spacing w:after="160" w:line="320"/>
        <w:jc w:val="left"/>
      </w:pPr>
      <w:r>
        <w:rPr>
          <w:b/>
          <w:bCs/>
        </w:rPr>
        <w:t xml:space="preserve">ITAR scope on dual-use technologies.</w:t>
      </w:r>
      <w:r>
        <w:t xml:space="preserve"> Humanoid robotics, advanced autonomy, surface power systems, communications technology — each has obvious civilian and military applications. ITAR scope determines whether international participation is feasible, whether IP can be shared with allies, whether components can be sourced internationally. A more restrictive ITAR posture protects against technology transfer to adversaries; a more permissive one enables international cooperation.</w:t>
      </w:r>
    </w:p>
    <w:p>
      <w:pPr>
        <w:spacing w:after="160" w:line="320"/>
        <w:jc w:val="left"/>
      </w:pPr>
      <w:r>
        <w:rPr>
          <w:b/>
          <w:bCs/>
        </w:rPr>
        <w:t xml:space="preserve">CFIUS review of foreign investment.</w:t>
      </w:r>
      <w:r>
        <w:t xml:space="preserve"> Sovereign wealth funds from PIF, Mubadala, GIC, and others are primary capital sources for the integration entity. CFIUS review of these investments determines whether the capital is available. A restrictive posture limits capital but reduces foreign-influence risk; a permissive posture enables capital but creates dependencies.</w:t>
      </w:r>
    </w:p>
    <w:p>
      <w:pPr>
        <w:spacing w:after="160" w:line="320"/>
        <w:jc w:val="left"/>
      </w:pPr>
      <w:r>
        <w:rPr>
          <w:b/>
          <w:bCs/>
        </w:rPr>
        <w:t xml:space="preserve">Domestic vs international supply chain.</w:t>
      </w:r>
      <w:r>
        <w:t xml:space="preserve"> The integration stack draws on companies in multiple countries. Policy choices about domestic content requirements, allied-country exemptions, and adversary exclusions shape what the supply chain looks like.</w:t>
      </w:r>
    </w:p>
    <w:p>
      <w:pPr>
        <w:spacing w:after="160" w:line="320"/>
        <w:jc w:val="left"/>
      </w:pPr>
      <w:r>
        <w:rPr>
          <w:b/>
          <w:bCs/>
        </w:rPr>
        <w:t xml:space="preserve">Talent mobility.</w:t>
      </w:r>
      <w:r>
        <w:t xml:space="preserve"> The engineering talent for the programme is global. Visa policy, security clearance accessibility, and academic exchange policy materially affect available human capital. A programme of this scale needs talent flows that current immigration policy makes difficult.</w:t>
      </w:r>
    </w:p>
    <w:p>
      <w:pPr>
        <w:spacing w:after="160" w:line="320"/>
        <w:jc w:val="left"/>
      </w:pPr>
      <w:r>
        <w:t xml:space="preserve">Each of these is decided at multiple decision points across multiple agencies. Coherent policy across these decisions is unusual; the default is fragmented decisions that produce incoherent outcomes. Policymakers should consider whether coordination mechanisms exist for these specific questions.</w:t>
      </w:r>
    </w:p>
    <w:p>
      <w:r>
        <w:br w:type="page"/>
      </w:r>
    </w:p>
    <w:p>
      <w:pPr>
        <w:pStyle w:val="Heading1"/>
      </w:pPr>
      <w:r>
        <w:t xml:space="preserve">8. Labour Market Policy</w:t>
      </w:r>
    </w:p>
    <w:p>
      <w:pPr>
        <w:spacing w:after="160" w:line="320"/>
        <w:jc w:val="left"/>
      </w:pPr>
      <w:r>
        <w:t xml:space="preserve">A specific policy area that earlier framings of Mars policy did not engage. Optimus is central to the Mars thesis. Mass production of Mars-spec humanoid robots is one of the largest single capital allocations in the plan. The Earth-market production line, projected at potentially millions of units per year, has consequences for terrestrial labour markets that are at least as significant as the consequences of the Mars activity itself.</w:t>
      </w:r>
    </w:p>
    <w:p>
      <w:pPr>
        <w:pStyle w:val="Heading2"/>
      </w:pPr>
      <w:r>
        <w:t xml:space="preserve">8.1 The Displacement Question</w:t>
      </w:r>
    </w:p>
    <w:p>
      <w:pPr>
        <w:spacing w:after="160" w:line="320"/>
        <w:jc w:val="left"/>
      </w:pPr>
      <w:r>
        <w:t xml:space="preserve">If Tesla's production targets for Optimus materialise, the units are first deployed against terrestrial labour markets, not Mars surface. Manufacturing, warehousing, agriculture, construction, transportation, food service, eventually elder care, healthcare, and household labour are exposed to displacement. The economic effects of ultra-cheap robotic labour at this scale are contested in economics literature, but the most careful analyses suggest substantial transition costs even under optimistic productivity-growth scenarios.</w:t>
      </w:r>
    </w:p>
    <w:p>
      <w:pPr>
        <w:spacing w:after="160" w:line="320"/>
        <w:jc w:val="left"/>
      </w:pPr>
      <w:r>
        <w:t xml:space="preserve">Transition costs fall disproportionately on workers in lower-income countries and lower-wage sectors, who have neither the capital ownership nor the political voice to capture the productivity gains. This is not a Mars-specific problem; it is a problem of automation policy that the Mars programme accelerates and partially funds.</w:t>
      </w:r>
    </w:p>
    <w:p>
      <w:pPr>
        <w:pStyle w:val="Heading2"/>
      </w:pPr>
      <w:r>
        <w:t xml:space="preserve">8.2 Concentration in Robotics Production</w:t>
      </w:r>
    </w:p>
    <w:p>
      <w:pPr>
        <w:spacing w:after="160" w:line="320"/>
        <w:jc w:val="left"/>
      </w:pPr>
      <w:r>
        <w:t xml:space="preserve">Modern AI training infrastructure, advanced manufacturing, semiconductor supply, robotics IP, and the autonomy stack required for humanoid robots are not democratically distributed. They are concentrated in a small number of firms in the US and China. The Mars programme accelerates this concentration by funding the dominant US-side firm in robotics on a scale and timeline no other actor can match.</w:t>
      </w:r>
    </w:p>
    <w:p>
      <w:pPr>
        <w:spacing w:after="160" w:line="320"/>
        <w:jc w:val="left"/>
      </w:pPr>
      <w:r>
        <w:t xml:space="preserve">Policy questions:</w:t>
      </w:r>
    </w:p>
    <w:p>
      <w:pPr>
        <w:pStyle w:val="ListParagraph"/>
        <w:numPr>
          <w:ilvl w:val="0"/>
          <w:numId w:val="2"/>
        </w:numPr>
        <w:spacing w:after="100" w:line="300"/>
      </w:pPr>
      <w:r>
        <w:t xml:space="preserve">Should there be open-licensing requirements for autonomy IP developed with public-funding components?</w:t>
      </w:r>
    </w:p>
    <w:p>
      <w:pPr>
        <w:pStyle w:val="ListParagraph"/>
        <w:numPr>
          <w:ilvl w:val="0"/>
          <w:numId w:val="2"/>
        </w:numPr>
        <w:spacing w:after="100" w:line="300"/>
      </w:pPr>
      <w:r>
        <w:t xml:space="preserve">Should procurement policy require diverse vendor participation in humanoid robot acquisition?</w:t>
      </w:r>
    </w:p>
    <w:p>
      <w:pPr>
        <w:pStyle w:val="ListParagraph"/>
        <w:numPr>
          <w:ilvl w:val="0"/>
          <w:numId w:val="2"/>
        </w:numPr>
        <w:spacing w:after="100" w:line="300"/>
      </w:pPr>
      <w:r>
        <w:t xml:space="preserve">Should antitrust policy address vertical integration of AI training, robotics manufacturing, and deployment?</w:t>
      </w:r>
    </w:p>
    <w:p>
      <w:pPr>
        <w:pStyle w:val="ListParagraph"/>
        <w:numPr>
          <w:ilvl w:val="0"/>
          <w:numId w:val="2"/>
        </w:numPr>
        <w:spacing w:after="100" w:line="300"/>
      </w:pPr>
      <w:r>
        <w:t xml:space="preserve">Should labour market policy include transition support funded by automation taxes on the entities deploying replacement labour?</w:t>
      </w:r>
    </w:p>
    <w:p>
      <w:pPr>
        <w:spacing w:after="160" w:line="320"/>
        <w:jc w:val="left"/>
      </w:pPr>
      <w:r>
        <w:t xml:space="preserve">Each of these is a legitimate policy question that the Mars-related robotics buildout makes more pressing. Policymakers concerned about Mars policy should also address these questions, because they are part of the same buildout.</w:t>
      </w:r>
    </w:p>
    <w:p>
      <w:pPr>
        <w:pStyle w:val="Heading2"/>
      </w:pPr>
      <w:r>
        <w:t xml:space="preserve">8.3 The Justification Framework Concern</w:t>
      </w:r>
    </w:p>
    <w:p>
      <w:pPr>
        <w:spacing w:after="160" w:line="320"/>
        <w:jc w:val="left"/>
      </w:pPr>
      <w:r>
        <w:t xml:space="preserve">Critics of the Mars plan argue that the Mars framing functions, in part, as public-interest justification for an industrial buildout whose primary effect — large-scale, vertically integrated humanoid robot production — would obtain regardless of Mars success. The Mars programme provides a sympathetic framing for a development whose terrestrial consequences include automated displacement of substantial fractions of the human labour force, concentration of production capability, and political power following economic concentration.</w:t>
      </w:r>
    </w:p>
    <w:p>
      <w:pPr>
        <w:spacing w:after="160" w:line="320"/>
        <w:jc w:val="left"/>
      </w:pPr>
      <w:r>
        <w:t xml:space="preserve">This critique deserves engagement on policy grounds. Whether or not one accepts the framing question, the policy question is whether Mars activity is being supported in ways that have implications for terrestrial labour and competition policy that are not being addressed in those terms. A coherent policy posture would either address them in the appropriate terrestrial frameworks or acknowledge that the Mars frame is being used to support a broader buildout whose terrestrial consequences are not being separately scrutinised.</w:t>
      </w:r>
    </w:p>
    <w:p>
      <w:r>
        <w:br w:type="page"/>
      </w:r>
    </w:p>
    <w:p>
      <w:pPr>
        <w:pStyle w:val="Heading1"/>
      </w:pPr>
      <w:r>
        <w:t xml:space="preserve">9. Policy Summary and Decision Forcing Points</w:t>
      </w:r>
    </w:p>
    <w:p>
      <w:pPr>
        <w:spacing w:after="160" w:line="320"/>
        <w:jc w:val="left"/>
      </w:pPr>
      <w:r>
        <w:t xml:space="preserve">The questions above are not abstract. Each has decision-forcing points in the next 12–36 months that will be resolved with or without explicit policymaker engagement. The summary below identifies the most consequential.</w:t>
      </w:r>
    </w:p>
    <w:tbl>
      <w:tblPr>
        <w:tblW w:type="dxa" w:w="8360"/>
        <w:tblBorders>
          <w:top w:val="single" w:color="auto" w:sz="4"/>
          <w:left w:val="single" w:color="auto" w:sz="4"/>
          <w:bottom w:val="single" w:color="auto" w:sz="4"/>
          <w:right w:val="single" w:color="auto" w:sz="4"/>
          <w:insideH w:val="single" w:color="auto" w:sz="4"/>
          <w:insideV w:val="single" w:color="auto" w:sz="4"/>
        </w:tblBorders>
      </w:tblPr>
      <w:tblGrid>
        <w:gridCol w:w="3000"/>
        <w:gridCol w:w="2200"/>
        <w:gridCol w:w="3160"/>
      </w:tblGrid>
      <w:tr>
        <w:trPr>
          <w:tblHeader/>
        </w:trPr>
        <w:tc>
          <w:tcPr>
            <w:tcW w:type="dxa" w:w="30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Question</w:t>
            </w:r>
          </w:p>
        </w:tc>
        <w:tc>
          <w:tcPr>
            <w:tcW w:type="dxa" w:w="220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Decision-forcing point</w:t>
            </w:r>
          </w:p>
        </w:tc>
        <w:tc>
          <w:tcPr>
            <w:tcW w:type="dxa" w:w="3160"/>
            <w:tcBorders>
              <w:top w:val="single" w:color="BBBBBB" w:sz="4"/>
              <w:left w:val="single" w:color="BBBBBB" w:sz="4"/>
              <w:bottom w:val="single" w:color="BBBBBB" w:sz="4"/>
              <w:right w:val="single" w:color="BBBBBB" w:sz="4"/>
            </w:tcBorders>
            <w:shd w:fill="E8EEF4" w:val="clear"/>
            <w:tcMar>
              <w:top w:type="dxa" w:w="100"/>
              <w:left w:type="dxa" w:w="120"/>
              <w:bottom w:type="dxa" w:w="100"/>
              <w:right w:type="dxa" w:w="120"/>
            </w:tcMar>
          </w:tcPr>
          <w:p>
            <w:r>
              <w:rPr>
                <w:b/>
                <w:bCs/>
                <w:sz w:val="20"/>
                <w:szCs w:val="20"/>
              </w:rPr>
              <w:t xml:space="preserve">Default if no decision</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NRC pathway for launch nuclear</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2027 NRC framework</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Ad-hoc case-by-case</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HALEU production capacity</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2027–2028 budget cycles</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Constrained supply</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SpaceX-Tesla merger review</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On filing</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Permissive default</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Mars Economic Zones designation</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Phase 0 / 2027–2028</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Implicit through commercial operations</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Planetary protection framework update</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COSPAR cycle</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Existing inadequate framework</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Defence-civilian integration scope</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Continuous</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Full integration through procurement</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International framework development</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Multi-year</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Continued unilateral activity</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Treaty work on space security</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Multi-year</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No new framework</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Antitrust posture toward integrated entity</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On formation</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Standard review</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Open-standards mandates for surface infrastructure</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During Phase 1–2</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Proprietary by default</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ITAR scope on dual-use</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Continuous</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Default existing scope</w:t>
            </w:r>
          </w:p>
        </w:tc>
      </w:tr>
      <w:tr>
        <w:trPr>
          <w:cantSplit/>
        </w:trPr>
        <w:tc>
          <w:tcPr>
            <w:tcW w:type="dxa" w:w="30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Labour market policy on robotics</w:t>
            </w:r>
          </w:p>
        </w:tc>
        <w:tc>
          <w:tcPr>
            <w:tcW w:type="dxa" w:w="220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Continuous</w:t>
            </w:r>
          </w:p>
        </w:tc>
        <w:tc>
          <w:tcPr>
            <w:tcW w:type="dxa" w:w="3160"/>
            <w:tcBorders>
              <w:top w:val="single" w:color="BBBBBB" w:sz="4"/>
              <w:left w:val="single" w:color="BBBBBB" w:sz="4"/>
              <w:bottom w:val="single" w:color="BBBBBB" w:sz="4"/>
              <w:right w:val="single" w:color="BBBBBB" w:sz="4"/>
            </w:tcBorders>
            <w:tcMar>
              <w:top w:type="dxa" w:w="80"/>
              <w:left w:type="dxa" w:w="120"/>
              <w:bottom w:type="dxa" w:w="80"/>
              <w:right w:type="dxa" w:w="120"/>
            </w:tcMar>
          </w:tcPr>
          <w:p>
            <w:r>
              <w:rPr>
                <w:sz w:val="20"/>
                <w:szCs w:val="20"/>
              </w:rPr>
              <w:t xml:space="preserve">No specific framework</w:t>
            </w:r>
          </w:p>
        </w:tc>
      </w:tr>
    </w:tbl>
    <w:p>
      <w:pPr>
        <w:spacing w:after="160" w:line="320"/>
        <w:jc w:val="left"/>
      </w:pPr>
      <w:r>
        <w:t xml:space="preserve"> </w:t>
      </w:r>
    </w:p>
    <w:p>
      <w:pPr>
        <w:pStyle w:val="Heading2"/>
      </w:pPr>
      <w:r>
        <w:t xml:space="preserve">9.1 The Coherence Problem</w:t>
      </w:r>
    </w:p>
    <w:p>
      <w:pPr>
        <w:spacing w:after="160" w:line="320"/>
        <w:jc w:val="left"/>
      </w:pPr>
      <w:r>
        <w:t xml:space="preserve">Each decision above is made by a different agency, often without coordination. The cumulative effect of fragmented decisions is policy incoherence — outcomes that no individual decision-maker would have chosen if the alternatives had been visible. This is the typical state of policy in fast-moving domains, and it is the state most likely to obtain for Mars-related policy.</w:t>
      </w:r>
    </w:p>
    <w:p>
      <w:pPr>
        <w:spacing w:after="160" w:line="320"/>
        <w:jc w:val="left"/>
      </w:pPr>
      <w:r>
        <w:t xml:space="preserve">Mitigating the coherence problem requires explicit coordination mechanisms. Examples include interagency working groups specific to space industrial policy, congressional oversight that addresses the cluster of issues rather than individual elements, and explicit engagement with the policy choices being made by default. None of these is currently in place.</w:t>
      </w:r>
    </w:p>
    <w:p>
      <w:pPr>
        <w:spacing w:after="160" w:line="320"/>
        <w:jc w:val="left"/>
      </w:pPr>
      <w:r>
        <w:t xml:space="preserve">A policymaker who concludes after reading this paper that the issues are too dispersed to address coherently is responding rationally to the current institutional structure. The structural answer is to address the institutional gap, not just the individual decisions.</w:t>
      </w:r>
    </w:p>
    <w:p>
      <w:pPr>
        <w:pStyle w:val="Heading2"/>
      </w:pPr>
      <w:r>
        <w:t xml:space="preserve">9.2 The Stance Question</w:t>
      </w:r>
    </w:p>
    <w:p>
      <w:pPr>
        <w:spacing w:after="160" w:line="320"/>
        <w:jc w:val="left"/>
      </w:pPr>
      <w:r>
        <w:t xml:space="preserve">Policymakers will adopt various stances toward the broader Mars programme. The position taken on the broader programme materially affects the position taken on specific decision points. Several coherent stances are possible:</w:t>
      </w:r>
    </w:p>
    <w:p>
      <w:pPr>
        <w:spacing w:after="160" w:line="320"/>
        <w:jc w:val="left"/>
      </w:pPr>
      <w:r>
        <w:rPr>
          <w:b/>
          <w:bCs/>
        </w:rPr>
        <w:t xml:space="preserve">Stance 1: Active support.</w:t>
      </w:r>
      <w:r>
        <w:t xml:space="preserve"> The programme should proceed; policy should accelerate and de-risk it. Implications: streamlined regulatory pathways, federal funding, supportive antitrust posture, ITAR exemptions for allies, planetary protection framework that enables industrial activity.</w:t>
      </w:r>
    </w:p>
    <w:p>
      <w:pPr>
        <w:spacing w:after="160" w:line="320"/>
        <w:jc w:val="left"/>
      </w:pPr>
      <w:r>
        <w:rPr>
          <w:b/>
          <w:bCs/>
        </w:rPr>
        <w:t xml:space="preserve">Stance 2: Conditional support.</w:t>
      </w:r>
      <w:r>
        <w:t xml:space="preserve"> The programme should proceed with substantial safeguards. Implications: regulatory pathways that require strong governance commitments, mandatory international participation, hard caps on concentration, public-benefit-corporation structure, slowed timeline tied to legitimate institutional capacity.</w:t>
      </w:r>
    </w:p>
    <w:p>
      <w:pPr>
        <w:spacing w:after="160" w:line="320"/>
        <w:jc w:val="left"/>
      </w:pPr>
      <w:r>
        <w:rPr>
          <w:b/>
          <w:bCs/>
        </w:rPr>
        <w:t xml:space="preserve">Stance 3: Conditional opposition.</w:t>
      </w:r>
      <w:r>
        <w:t xml:space="preserve"> The programme should pause until specific conditions are met. Implications: planetary protection framework precedes industrial activity, treaty work precedes scaled deployment, demonstrated terrestrial alternative-priorities funding, broader international consensus.</w:t>
      </w:r>
    </w:p>
    <w:p>
      <w:pPr>
        <w:spacing w:after="160" w:line="320"/>
        <w:jc w:val="left"/>
      </w:pPr>
      <w:r>
        <w:rPr>
          <w:b/>
          <w:bCs/>
        </w:rPr>
        <w:t xml:space="preserve">Stance 4: Active opposition.</w:t>
      </w:r>
      <w:r>
        <w:t xml:space="preserve"> The programme should not proceed at industrial scale. Implications: regulatory blocks at key decision points, refused antitrust approval for merger, restrictive ITAR, planetary protection framework that constrains rather than enables.</w:t>
      </w:r>
    </w:p>
    <w:p>
      <w:pPr>
        <w:spacing w:after="160" w:line="320"/>
        <w:jc w:val="left"/>
      </w:pPr>
      <w:r>
        <w:t xml:space="preserve">Each stance is internally coherent. None is "the right answer." Policymakers should clarify their own stance and ensure their specific decisions are consistent with it. The current US policy environment is closer to Stance 1, with elements of Stance 2 in some agencies. Whether this is the considered position or the default product of fragmented decisions is itself a question worth addressing.</w:t>
      </w:r>
    </w:p>
    <w:p>
      <w:r>
        <w:br w:type="page"/>
      </w:r>
    </w:p>
    <w:sectPr>
      <w:headerReference w:type="default" r:id="rId7"/>
      <w:footerReference w:type="default" r:id="rId8"/>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88888"/>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right"/>
    </w:pPr>
    <w:r>
      <w:rPr>
        <w:color w:val="888888"/>
        <w:sz w:val="18"/>
        <w:szCs w:val="18"/>
      </w:rPr>
      <w:t xml:space="preserve">Mars Policy White Paper · Doc 2 of 6</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4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cs="Calibri" w:eastAsia="Calibri" w:hAnsi="Calibri"/>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pPr>
      <w:pageBreakBefore/>
      <w:spacing w:after="240" w:before="320"/>
    </w:pPr>
    <w:rPr>
      <w:rFonts w:ascii="Calibri" w:cs="Calibri" w:eastAsia="Calibri" w:hAnsi="Calibri"/>
      <w:b/>
      <w:bCs/>
      <w:color w:val="1F3A6B"/>
      <w:sz w:val="36"/>
      <w:szCs w:val="36"/>
    </w:rPr>
  </w:style>
  <w:style w:type="paragraph" w:styleId="Heading2">
    <w:name w:val="Heading 2"/>
    <w:basedOn w:val="Normal"/>
    <w:next w:val="Normal"/>
    <w:qFormat/>
    <w:pPr>
      <w:spacing w:after="160" w:before="280"/>
    </w:pPr>
    <w:rPr>
      <w:rFonts w:ascii="Calibri" w:cs="Calibri" w:eastAsia="Calibri" w:hAnsi="Calibri"/>
      <w:b/>
      <w:bCs/>
      <w:color w:val="1F3A6B"/>
      <w:sz w:val="28"/>
      <w:szCs w:val="28"/>
    </w:rPr>
  </w:style>
  <w:style w:type="paragraph" w:styleId="Heading3">
    <w:name w:val="Heading 3"/>
    <w:basedOn w:val="Normal"/>
    <w:next w:val="Normal"/>
    <w:qFormat/>
    <w:pPr>
      <w:spacing w:after="140" w:before="240"/>
    </w:pPr>
    <w:rPr>
      <w:rFonts w:ascii="Calibri" w:cs="Calibri" w:eastAsia="Calibri" w:hAnsi="Calibri"/>
      <w:b/>
      <w:bCs/>
      <w:i/>
      <w:iCs/>
      <w:color w:val="1F3A6B"/>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Mars Industrialisation — Policy White Paper</dc:title>
  <dc:creator>Building Mars document set</dc:creator>
  <dc:description>Document 2 of 6: Regulatory and international framework</dc:description>
  <cp:lastModifiedBy>Un-named</cp:lastModifiedBy>
  <cp:revision>1</cp:revision>
  <dcterms:created xsi:type="dcterms:W3CDTF">2026-05-09T11:19:52.218Z</dcterms:created>
  <dcterms:modified xsi:type="dcterms:W3CDTF">2026-05-09T11:19:52.220Z</dcterms:modified>
</cp:coreProperties>
</file>

<file path=docProps/custom.xml><?xml version="1.0" encoding="utf-8"?>
<Properties xmlns="http://schemas.openxmlformats.org/officeDocument/2006/custom-properties" xmlns:vt="http://schemas.openxmlformats.org/officeDocument/2006/docPropsVTypes"/>
</file>